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2E5" w14:textId="77777777" w:rsidR="007D1E76" w:rsidRPr="00E74967" w:rsidRDefault="007D1E76" w:rsidP="007D1E76">
      <w:pPr>
        <w:spacing w:after="0" w:line="240" w:lineRule="auto"/>
        <w:jc w:val="both"/>
        <w:rPr>
          <w:rFonts w:cs="Calibri"/>
        </w:rPr>
      </w:pPr>
    </w:p>
    <w:p w14:paraId="679DB06B" w14:textId="77777777" w:rsidR="007D1E76" w:rsidRPr="00E74967" w:rsidRDefault="007D1E76" w:rsidP="007D1E76">
      <w:pPr>
        <w:spacing w:after="0" w:line="240" w:lineRule="auto"/>
        <w:jc w:val="both"/>
        <w:rPr>
          <w:rFonts w:cs="Calibri"/>
        </w:rPr>
      </w:pPr>
    </w:p>
    <w:p w14:paraId="2785E1EC" w14:textId="77777777" w:rsidR="005B3885" w:rsidRDefault="005B3885" w:rsidP="005B3885">
      <w:pPr>
        <w:jc w:val="both"/>
        <w:rPr>
          <w:rFonts w:ascii="Arial" w:hAnsi="Arial" w:cs="Arial"/>
          <w:b/>
          <w:sz w:val="20"/>
          <w:szCs w:val="20"/>
        </w:rPr>
      </w:pPr>
    </w:p>
    <w:p w14:paraId="5638E789" w14:textId="77777777" w:rsidR="005B3885" w:rsidRPr="00532BA1" w:rsidRDefault="005B3885" w:rsidP="005B3885">
      <w:pPr>
        <w:jc w:val="both"/>
        <w:rPr>
          <w:rFonts w:ascii="Arial" w:hAnsi="Arial" w:cs="Arial"/>
          <w:sz w:val="20"/>
          <w:szCs w:val="20"/>
        </w:rPr>
      </w:pPr>
      <w:r w:rsidRPr="00532BA1">
        <w:rPr>
          <w:rFonts w:ascii="Arial" w:hAnsi="Arial" w:cs="Arial"/>
          <w:sz w:val="20"/>
          <w:szCs w:val="20"/>
        </w:rPr>
        <w:t>Los estados financieros de los entes públicos, proveen de información financiera a los principales usuarios de la misma, al Congreso y a los ciudadanos.</w:t>
      </w:r>
    </w:p>
    <w:p w14:paraId="60175393" w14:textId="77777777" w:rsidR="005B3885" w:rsidRDefault="005B3885" w:rsidP="005B3885">
      <w:pPr>
        <w:jc w:val="both"/>
        <w:rPr>
          <w:rFonts w:ascii="Arial" w:hAnsi="Arial" w:cs="Arial"/>
          <w:sz w:val="20"/>
          <w:szCs w:val="20"/>
        </w:rPr>
      </w:pPr>
      <w:r w:rsidRPr="00532BA1">
        <w:rPr>
          <w:rFonts w:ascii="Arial" w:hAnsi="Arial" w:cs="Arial"/>
          <w:sz w:val="20"/>
          <w:szCs w:val="20"/>
        </w:rPr>
        <w:t>El presente documento contiene los aspectos más importantes que influyen en las decisiones del periodo, y que deberán ser considerados para la elaboración de los estados financieros.</w:t>
      </w:r>
    </w:p>
    <w:p w14:paraId="79EE2250" w14:textId="77777777" w:rsidR="005B3885" w:rsidRPr="00532BA1" w:rsidRDefault="005B3885" w:rsidP="005B3885">
      <w:pPr>
        <w:jc w:val="both"/>
        <w:rPr>
          <w:rFonts w:ascii="Arial" w:hAnsi="Arial" w:cs="Arial"/>
          <w:sz w:val="20"/>
          <w:szCs w:val="20"/>
        </w:rPr>
      </w:pPr>
      <w:r>
        <w:rPr>
          <w:rFonts w:ascii="Arial" w:hAnsi="Arial" w:cs="Arial"/>
          <w:sz w:val="20"/>
          <w:szCs w:val="20"/>
        </w:rPr>
        <w:t xml:space="preserve">Los puntos que contienen las presentes notas son: </w:t>
      </w:r>
    </w:p>
    <w:p w14:paraId="3FA75731" w14:textId="77777777" w:rsidR="005B3885" w:rsidRPr="0090761C" w:rsidRDefault="005B3885" w:rsidP="005B3885">
      <w:pPr>
        <w:jc w:val="both"/>
        <w:rPr>
          <w:rFonts w:ascii="Arial" w:hAnsi="Arial" w:cs="Arial"/>
          <w:sz w:val="20"/>
          <w:szCs w:val="20"/>
        </w:rPr>
      </w:pPr>
      <w:r w:rsidRPr="0090761C">
        <w:rPr>
          <w:rFonts w:ascii="Arial" w:hAnsi="Arial" w:cs="Arial"/>
          <w:b/>
          <w:sz w:val="20"/>
          <w:szCs w:val="20"/>
        </w:rPr>
        <w:t>1. Introducción:</w:t>
      </w:r>
    </w:p>
    <w:p w14:paraId="11C8BDA8" w14:textId="77777777" w:rsidR="005B3885" w:rsidRDefault="005B3885" w:rsidP="005B3885">
      <w:pPr>
        <w:jc w:val="both"/>
        <w:rPr>
          <w:rFonts w:ascii="Arial" w:hAnsi="Arial" w:cs="Arial"/>
          <w:sz w:val="20"/>
          <w:szCs w:val="20"/>
        </w:rPr>
      </w:pPr>
      <w:r>
        <w:rPr>
          <w:rFonts w:ascii="Arial" w:hAnsi="Arial" w:cs="Arial"/>
          <w:sz w:val="20"/>
          <w:szCs w:val="20"/>
        </w:rPr>
        <w:t xml:space="preserve">En el estado de Guanajuato actualmente existe una Casa de Cultura en cada </w:t>
      </w:r>
      <w:r w:rsidR="007A3EE5">
        <w:rPr>
          <w:rFonts w:ascii="Arial" w:hAnsi="Arial" w:cs="Arial"/>
          <w:sz w:val="20"/>
          <w:szCs w:val="20"/>
        </w:rPr>
        <w:t>Municipio, como</w:t>
      </w:r>
      <w:r>
        <w:rPr>
          <w:rFonts w:ascii="Arial" w:hAnsi="Arial" w:cs="Arial"/>
          <w:sz w:val="20"/>
          <w:szCs w:val="20"/>
        </w:rPr>
        <w:t xml:space="preserve"> resultado de una gran labor por parte del Instituto Estatal de la Cultura y la disponibilidad de los municipios. La principal función del Instituto Estatal de Cultura del Estado es a través de programas y con la experiencia y el conocimiento de los talleres que se imparten se continúa fomentando y difundiendo la cultura municipal, estatal y nacional, fortaleciendo las habilidades, destrezas, actitudes y conocimiento de la cultura, a través de las diversas disciplinas artísticas impartidas en los talleres de educación no formal.</w:t>
      </w:r>
    </w:p>
    <w:p w14:paraId="5D209B1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2. Describir el pan</w:t>
      </w:r>
      <w:r>
        <w:rPr>
          <w:rFonts w:ascii="Arial" w:hAnsi="Arial" w:cs="Arial"/>
          <w:b/>
          <w:sz w:val="20"/>
          <w:szCs w:val="20"/>
        </w:rPr>
        <w:t>orama Económico y Financiero:</w:t>
      </w:r>
    </w:p>
    <w:p w14:paraId="46EB9382" w14:textId="77777777" w:rsidR="005B3885" w:rsidRDefault="005B3885" w:rsidP="005B3885">
      <w:pPr>
        <w:jc w:val="both"/>
        <w:rPr>
          <w:rFonts w:ascii="Arial" w:hAnsi="Arial" w:cs="Arial"/>
          <w:sz w:val="20"/>
          <w:szCs w:val="20"/>
        </w:rPr>
      </w:pPr>
      <w:r>
        <w:rPr>
          <w:rFonts w:ascii="Arial" w:hAnsi="Arial" w:cs="Arial"/>
          <w:sz w:val="20"/>
          <w:szCs w:val="20"/>
        </w:rPr>
        <w:t xml:space="preserve">Casa de Cultura del Municipio de Acámbaro opera con ingresos que obtiene por medio de un subsidio por parte del Instituto Estatal de Cultura del Estado y otro por parte del Municipio </w:t>
      </w:r>
      <w:r w:rsidR="007A3EE5">
        <w:rPr>
          <w:rFonts w:ascii="Arial" w:hAnsi="Arial" w:cs="Arial"/>
          <w:sz w:val="20"/>
          <w:szCs w:val="20"/>
        </w:rPr>
        <w:t>mismos que</w:t>
      </w:r>
      <w:r>
        <w:rPr>
          <w:rFonts w:ascii="Arial" w:hAnsi="Arial" w:cs="Arial"/>
          <w:sz w:val="20"/>
          <w:szCs w:val="20"/>
        </w:rPr>
        <w:t xml:space="preserve"> se le otorga de manera </w:t>
      </w:r>
      <w:r w:rsidR="007A3EE5">
        <w:rPr>
          <w:rFonts w:ascii="Arial" w:hAnsi="Arial" w:cs="Arial"/>
          <w:sz w:val="20"/>
          <w:szCs w:val="20"/>
        </w:rPr>
        <w:t>mensual, así</w:t>
      </w:r>
      <w:r>
        <w:rPr>
          <w:rFonts w:ascii="Arial" w:hAnsi="Arial" w:cs="Arial"/>
          <w:sz w:val="20"/>
          <w:szCs w:val="20"/>
        </w:rPr>
        <w:t xml:space="preserve"> como de los ingresos que obtiene por la impartición de talleres y venta de libros los cuales son variables.</w:t>
      </w:r>
    </w:p>
    <w:p w14:paraId="5686B24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3. Autorización e Historia:</w:t>
      </w:r>
    </w:p>
    <w:p w14:paraId="08711AC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Fecha de creación del ente.</w:t>
      </w:r>
    </w:p>
    <w:p w14:paraId="761D938B" w14:textId="77777777" w:rsidR="005B3885" w:rsidRPr="0090761C" w:rsidRDefault="005B3885" w:rsidP="005B3885">
      <w:pPr>
        <w:jc w:val="both"/>
        <w:rPr>
          <w:rFonts w:ascii="Arial" w:hAnsi="Arial" w:cs="Arial"/>
          <w:sz w:val="20"/>
          <w:szCs w:val="20"/>
        </w:rPr>
      </w:pPr>
      <w:r>
        <w:rPr>
          <w:rFonts w:ascii="Arial" w:hAnsi="Arial" w:cs="Arial"/>
          <w:sz w:val="20"/>
          <w:szCs w:val="20"/>
        </w:rPr>
        <w:t>Inicia operaciones en el año de 1993</w:t>
      </w:r>
    </w:p>
    <w:p w14:paraId="67B225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Principales cambios en su estructura</w:t>
      </w:r>
      <w:r>
        <w:rPr>
          <w:rFonts w:ascii="Arial" w:hAnsi="Arial" w:cs="Arial"/>
          <w:sz w:val="20"/>
          <w:szCs w:val="20"/>
        </w:rPr>
        <w:t>.</w:t>
      </w:r>
    </w:p>
    <w:p w14:paraId="38507A50" w14:textId="77777777" w:rsidR="005B3885" w:rsidRPr="009456C3" w:rsidRDefault="005B3885" w:rsidP="005B3885">
      <w:pPr>
        <w:jc w:val="both"/>
        <w:rPr>
          <w:rFonts w:ascii="Arial" w:hAnsi="Arial" w:cs="Arial"/>
          <w:sz w:val="20"/>
          <w:szCs w:val="20"/>
        </w:rPr>
      </w:pPr>
      <w:r>
        <w:rPr>
          <w:rFonts w:ascii="Arial" w:hAnsi="Arial" w:cs="Arial"/>
          <w:sz w:val="20"/>
          <w:szCs w:val="20"/>
        </w:rPr>
        <w:t>Inicia con solo cuatro talleres, a partir del año de 1994 se busca un espacio más amplio para incluir otros talleres y desarrollar más actividades culturales a través de la firma de convenios de colaboración con el Instituto Estatal de la Cultura. En el año 2004 se traslada a su nuevo domicilio en Matamoros número tres Centro histórico, este cambio de domicilio ha significado para Casa de Cultura un incremento sobre los alcances en relación de actividades culturales y artísticas y un crecimiento cultural en la población. En 2013 se hace la creación del Instituto Municipal de Cultura como actualmente opera.</w:t>
      </w:r>
    </w:p>
    <w:p w14:paraId="02712FE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4. Organización y Objeto Social:</w:t>
      </w:r>
    </w:p>
    <w:p w14:paraId="4B464B9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Objeto social</w:t>
      </w:r>
      <w:r>
        <w:rPr>
          <w:rFonts w:ascii="Arial" w:hAnsi="Arial" w:cs="Arial"/>
          <w:sz w:val="20"/>
          <w:szCs w:val="20"/>
        </w:rPr>
        <w:t>.</w:t>
      </w:r>
    </w:p>
    <w:p w14:paraId="62CDAD14" w14:textId="77777777" w:rsidR="005B3885" w:rsidRPr="0090761C" w:rsidRDefault="005B3885" w:rsidP="005B3885">
      <w:pPr>
        <w:tabs>
          <w:tab w:val="left" w:leader="underscore" w:pos="9923"/>
        </w:tabs>
        <w:jc w:val="both"/>
        <w:rPr>
          <w:rFonts w:ascii="Arial" w:hAnsi="Arial" w:cs="Arial"/>
          <w:sz w:val="20"/>
          <w:szCs w:val="20"/>
        </w:rPr>
      </w:pPr>
      <w:r>
        <w:rPr>
          <w:rFonts w:ascii="Arial" w:hAnsi="Arial" w:cs="Arial"/>
          <w:sz w:val="20"/>
          <w:szCs w:val="20"/>
        </w:rPr>
        <w:t xml:space="preserve">Fomentar, difundir </w:t>
      </w:r>
      <w:r w:rsidR="007A3EE5">
        <w:rPr>
          <w:rFonts w:ascii="Arial" w:hAnsi="Arial" w:cs="Arial"/>
          <w:sz w:val="20"/>
          <w:szCs w:val="20"/>
        </w:rPr>
        <w:t>e impulsar</w:t>
      </w:r>
      <w:r>
        <w:rPr>
          <w:rFonts w:ascii="Arial" w:hAnsi="Arial" w:cs="Arial"/>
          <w:sz w:val="20"/>
          <w:szCs w:val="20"/>
        </w:rPr>
        <w:t xml:space="preserve"> el desarrollo cultural a través de la capacitación y formación de áreas artísticas y artesanales en territorio </w:t>
      </w:r>
      <w:proofErr w:type="spellStart"/>
      <w:r>
        <w:rPr>
          <w:rFonts w:ascii="Arial" w:hAnsi="Arial" w:cs="Arial"/>
          <w:sz w:val="20"/>
          <w:szCs w:val="20"/>
        </w:rPr>
        <w:t>acámbarense</w:t>
      </w:r>
      <w:proofErr w:type="spellEnd"/>
      <w:r>
        <w:rPr>
          <w:rFonts w:ascii="Arial" w:hAnsi="Arial" w:cs="Arial"/>
          <w:sz w:val="20"/>
          <w:szCs w:val="20"/>
        </w:rPr>
        <w:t>.</w:t>
      </w:r>
    </w:p>
    <w:p w14:paraId="0775B9FA" w14:textId="77777777" w:rsidR="005B3885" w:rsidRPr="00B51DB9" w:rsidRDefault="005B3885" w:rsidP="005B3885">
      <w:pPr>
        <w:jc w:val="both"/>
        <w:rPr>
          <w:rFonts w:ascii="Arial" w:hAnsi="Arial" w:cs="Arial"/>
          <w:sz w:val="20"/>
          <w:szCs w:val="20"/>
        </w:rPr>
      </w:pPr>
    </w:p>
    <w:p w14:paraId="4A6C59E7" w14:textId="77777777" w:rsidR="005B3885" w:rsidRPr="00B51DB9" w:rsidRDefault="005B3885" w:rsidP="005B3885">
      <w:pPr>
        <w:jc w:val="both"/>
        <w:rPr>
          <w:rFonts w:ascii="Arial" w:hAnsi="Arial" w:cs="Arial"/>
          <w:sz w:val="20"/>
          <w:szCs w:val="20"/>
        </w:rPr>
      </w:pPr>
      <w:r w:rsidRPr="00B51DB9">
        <w:rPr>
          <w:rFonts w:ascii="Arial" w:hAnsi="Arial" w:cs="Arial"/>
          <w:sz w:val="20"/>
          <w:szCs w:val="20"/>
        </w:rPr>
        <w:t>b) Principal actividad.</w:t>
      </w:r>
    </w:p>
    <w:p w14:paraId="39C1C198" w14:textId="77777777" w:rsidR="005B3885" w:rsidRPr="0090761C" w:rsidRDefault="005B3885" w:rsidP="005B3885">
      <w:pPr>
        <w:jc w:val="both"/>
        <w:rPr>
          <w:rFonts w:ascii="Arial" w:hAnsi="Arial" w:cs="Arial"/>
          <w:sz w:val="20"/>
          <w:szCs w:val="20"/>
        </w:rPr>
      </w:pPr>
      <w:r>
        <w:rPr>
          <w:rFonts w:ascii="Arial" w:hAnsi="Arial" w:cs="Arial"/>
          <w:sz w:val="20"/>
          <w:szCs w:val="20"/>
        </w:rPr>
        <w:lastRenderedPageBreak/>
        <w:t>La impartición de talleres artísticos en cabecera municipal y diferentes localidades del municipio seleccionadas estratégicamente y enfocados únicamente a la enseñanza de las bellas artes, así como cursos de verano y brigadas culturales (recorridos guiados a los diferentes espacios culturales de la ciudad).</w:t>
      </w:r>
    </w:p>
    <w:p w14:paraId="592CB36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Ejercicio fiscal</w:t>
      </w:r>
      <w:r>
        <w:rPr>
          <w:rFonts w:ascii="Arial" w:hAnsi="Arial" w:cs="Arial"/>
          <w:sz w:val="20"/>
          <w:szCs w:val="20"/>
        </w:rPr>
        <w:t>.</w:t>
      </w:r>
    </w:p>
    <w:p w14:paraId="22EBE97D" w14:textId="19307286" w:rsidR="005B3885" w:rsidRPr="006C79A6" w:rsidRDefault="005B3885" w:rsidP="005B3885">
      <w:pPr>
        <w:jc w:val="both"/>
        <w:rPr>
          <w:rFonts w:ascii="Arial" w:hAnsi="Arial" w:cs="Arial"/>
          <w:sz w:val="20"/>
          <w:szCs w:val="20"/>
        </w:rPr>
      </w:pPr>
      <w:r w:rsidRPr="006C79A6">
        <w:rPr>
          <w:rFonts w:ascii="Arial" w:hAnsi="Arial" w:cs="Arial"/>
          <w:sz w:val="20"/>
          <w:szCs w:val="20"/>
        </w:rPr>
        <w:t xml:space="preserve">Enero a </w:t>
      </w:r>
      <w:r w:rsidR="000E5E16" w:rsidRPr="006C79A6">
        <w:rPr>
          <w:rFonts w:ascii="Arial" w:hAnsi="Arial" w:cs="Arial"/>
          <w:sz w:val="20"/>
          <w:szCs w:val="20"/>
        </w:rPr>
        <w:t>diciembre</w:t>
      </w:r>
      <w:r w:rsidR="001847D2" w:rsidRPr="006C79A6">
        <w:rPr>
          <w:rFonts w:ascii="Arial" w:hAnsi="Arial" w:cs="Arial"/>
          <w:sz w:val="20"/>
          <w:szCs w:val="20"/>
        </w:rPr>
        <w:t xml:space="preserve"> 202</w:t>
      </w:r>
      <w:r w:rsidR="004D3588">
        <w:rPr>
          <w:rFonts w:ascii="Arial" w:hAnsi="Arial" w:cs="Arial"/>
          <w:sz w:val="20"/>
          <w:szCs w:val="20"/>
        </w:rPr>
        <w:t>4</w:t>
      </w:r>
    </w:p>
    <w:p w14:paraId="4F691D2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Régimen jurídico</w:t>
      </w:r>
      <w:r>
        <w:rPr>
          <w:rFonts w:ascii="Arial" w:hAnsi="Arial" w:cs="Arial"/>
          <w:sz w:val="20"/>
          <w:szCs w:val="20"/>
        </w:rPr>
        <w:t>.</w:t>
      </w:r>
    </w:p>
    <w:p w14:paraId="0E912D1B" w14:textId="34E541D1" w:rsidR="005B3885" w:rsidRPr="0090761C" w:rsidRDefault="005B3885" w:rsidP="005B3885">
      <w:pPr>
        <w:jc w:val="both"/>
        <w:rPr>
          <w:rFonts w:ascii="Arial" w:hAnsi="Arial" w:cs="Arial"/>
          <w:sz w:val="20"/>
          <w:szCs w:val="20"/>
        </w:rPr>
      </w:pPr>
      <w:r>
        <w:rPr>
          <w:rFonts w:ascii="Arial" w:hAnsi="Arial" w:cs="Arial"/>
          <w:sz w:val="20"/>
          <w:szCs w:val="20"/>
        </w:rPr>
        <w:t xml:space="preserve">La entidad actualmente se encuentra operando a nombre del Instituto Municipal de Cultura de Acámbaro </w:t>
      </w:r>
      <w:r w:rsidR="006C79A6">
        <w:rPr>
          <w:rFonts w:ascii="Arial" w:hAnsi="Arial" w:cs="Arial"/>
          <w:sz w:val="20"/>
          <w:szCs w:val="20"/>
        </w:rPr>
        <w:t>Guanajuato</w:t>
      </w:r>
      <w:r>
        <w:rPr>
          <w:rFonts w:ascii="Arial" w:hAnsi="Arial" w:cs="Arial"/>
          <w:sz w:val="20"/>
          <w:szCs w:val="20"/>
        </w:rPr>
        <w:t xml:space="preserve">, el cual está registrado ante la </w:t>
      </w:r>
      <w:r w:rsidR="00F62002">
        <w:rPr>
          <w:rFonts w:ascii="Arial" w:hAnsi="Arial" w:cs="Arial"/>
          <w:sz w:val="20"/>
          <w:szCs w:val="20"/>
        </w:rPr>
        <w:t>secretaria</w:t>
      </w:r>
      <w:r>
        <w:rPr>
          <w:rFonts w:ascii="Arial" w:hAnsi="Arial" w:cs="Arial"/>
          <w:sz w:val="20"/>
          <w:szCs w:val="20"/>
        </w:rPr>
        <w:t xml:space="preserve"> de Hacienda y Crédito </w:t>
      </w:r>
      <w:r w:rsidR="000E5E16">
        <w:rPr>
          <w:rFonts w:ascii="Arial" w:hAnsi="Arial" w:cs="Arial"/>
          <w:sz w:val="20"/>
          <w:szCs w:val="20"/>
        </w:rPr>
        <w:t>Público</w:t>
      </w:r>
      <w:r>
        <w:rPr>
          <w:rFonts w:ascii="Arial" w:hAnsi="Arial" w:cs="Arial"/>
          <w:sz w:val="20"/>
          <w:szCs w:val="20"/>
        </w:rPr>
        <w:t xml:space="preserve"> como Persona Moral Sin Fines de Lucro.</w:t>
      </w:r>
    </w:p>
    <w:p w14:paraId="727C0B8B" w14:textId="77777777" w:rsidR="005B3885" w:rsidRDefault="005B3885" w:rsidP="005B3885">
      <w:pPr>
        <w:jc w:val="both"/>
        <w:rPr>
          <w:rFonts w:ascii="Arial" w:hAnsi="Arial" w:cs="Arial"/>
          <w:sz w:val="20"/>
          <w:szCs w:val="20"/>
        </w:rPr>
      </w:pPr>
      <w:r w:rsidRPr="0090761C">
        <w:rPr>
          <w:rFonts w:ascii="Arial" w:hAnsi="Arial" w:cs="Arial"/>
          <w:sz w:val="20"/>
          <w:szCs w:val="20"/>
        </w:rPr>
        <w:t>e) Con</w:t>
      </w:r>
      <w:r>
        <w:rPr>
          <w:rFonts w:ascii="Arial" w:hAnsi="Arial" w:cs="Arial"/>
          <w:sz w:val="20"/>
          <w:szCs w:val="20"/>
        </w:rPr>
        <w:t>sideraciones fiscales del ente:</w:t>
      </w:r>
    </w:p>
    <w:p w14:paraId="1BD3D02E" w14:textId="77777777" w:rsidR="005B3885" w:rsidRDefault="005B3885" w:rsidP="005B3885">
      <w:pPr>
        <w:jc w:val="both"/>
        <w:rPr>
          <w:rFonts w:ascii="Arial" w:hAnsi="Arial" w:cs="Arial"/>
          <w:sz w:val="20"/>
          <w:szCs w:val="20"/>
        </w:rPr>
      </w:pPr>
      <w:r w:rsidRPr="0090761C">
        <w:rPr>
          <w:rFonts w:ascii="Arial" w:hAnsi="Arial" w:cs="Arial"/>
          <w:sz w:val="20"/>
          <w:szCs w:val="20"/>
        </w:rPr>
        <w:t>f) Estructura organizacional básica</w:t>
      </w:r>
      <w:r>
        <w:rPr>
          <w:rFonts w:ascii="Arial" w:hAnsi="Arial" w:cs="Arial"/>
          <w:sz w:val="20"/>
          <w:szCs w:val="20"/>
        </w:rPr>
        <w:t>.</w:t>
      </w:r>
    </w:p>
    <w:p w14:paraId="27E631C7" w14:textId="77777777" w:rsidR="005B3885" w:rsidRDefault="005B3885" w:rsidP="005B3885">
      <w:pPr>
        <w:jc w:val="both"/>
        <w:rPr>
          <w:rFonts w:ascii="Arial" w:hAnsi="Arial" w:cs="Arial"/>
          <w:sz w:val="20"/>
          <w:szCs w:val="20"/>
        </w:rPr>
      </w:pPr>
      <w:r>
        <w:rPr>
          <w:noProof/>
          <w:sz w:val="20"/>
          <w:szCs w:val="20"/>
          <w:lang w:eastAsia="es-MX"/>
        </w:rPr>
        <mc:AlternateContent>
          <mc:Choice Requires="wps">
            <w:drawing>
              <wp:anchor distT="0" distB="0" distL="114298" distR="114298" simplePos="0" relativeHeight="251658240" behindDoc="0" locked="0" layoutInCell="1" allowOverlap="1" wp14:anchorId="21C3A150" wp14:editId="69103195">
                <wp:simplePos x="0" y="0"/>
                <wp:positionH relativeFrom="column">
                  <wp:posOffset>7086599</wp:posOffset>
                </wp:positionH>
                <wp:positionV relativeFrom="paragraph">
                  <wp:posOffset>4447540</wp:posOffset>
                </wp:positionV>
                <wp:extent cx="0" cy="1676400"/>
                <wp:effectExtent l="0" t="0" r="19050" b="19050"/>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B9359" id="_x0000_t32" coordsize="21600,21600" o:spt="32" o:oned="t" path="m,l21600,21600e" filled="f">
                <v:path arrowok="t" fillok="f" o:connecttype="none"/>
                <o:lock v:ext="edit" shapetype="t"/>
              </v:shapetype>
              <v:shape id="Conector recto de flecha 72" o:spid="_x0000_s1026" type="#_x0000_t32" style="position:absolute;margin-left:558pt;margin-top:350.2pt;width:0;height:132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uY1QEAAI0DAAAOAAAAZHJzL2Uyb0RvYy54bWysU01v2zAMvQ/YfxB0X5wEa7oZcXpI1126&#10;LUC7H8BIsi1MFgVKiZN/P0r5WLfdivogSyL5yPdILe8OgxN7Q9Gib+RsMpXCeIXa+q6RP58fPnyS&#10;IibwGhx608ijifJu9f7dcgy1mWOPThsSDOJjPYZG9imFuqqi6s0AcYLBeDa2SAMkPlJXaYKR0QdX&#10;zafTRTUi6UCoTIx8e38yylXBb1uj0o+2jSYJ10iuLZWVyrrNa7VaQt0RhN6qcxnwiioGsJ6TXqHu&#10;IYHYkf0ParCKMGKbJgqHCtvWKlM4MJvZ9B82Tz0EU7iwODFcZYpvB6u+7zckrG7k7VwKDwP3aM2d&#10;UglJUP4JbUTrjOpBsAvrNYZYc9jabygzVgf/FB5R/YrC47oH35lS9/MxMNYsR1R/heRDDJx1O35D&#10;zT6wS1jEO7Q0ZEiWRRxKj47XHplDEup0qfh2trhdfJyW/lVQXwIDxfTV4CDyppExEdiuT0zoxGhW&#10;0sD+MaZcFtSXgJzV44N1rgyE82Js5Oeb+U0JiOiszsbsFqnbrh2JPeSRKl/hyJaXboQ7rwtYb0B/&#10;Oe8TWHfac3Lnz9JkNU66blEfN3SRjHteqjzPZx6ql+cS/ecVrX4DAAD//wMAUEsDBBQABgAIAAAA&#10;IQC9JHbr3wAAAA0BAAAPAAAAZHJzL2Rvd25yZXYueG1sTI/BTsMwEETvSPyDtUhcELVThUBDnKpC&#10;4sCRthLXbbwkgXgdxU4T+vW44lCOMzuafVOsZ9uJIw2+dawhWSgQxJUzLdca9rvX+ycQPiAb7ByT&#10;hh/ysC6vrwrMjZv4nY7bUItYwj5HDU0IfS6lrxqy6BeuJ463TzdYDFEOtTQDTrHcdnKpVCYtthw/&#10;NNjTS0PV93a0GsiPD4narGy9fztNdx/L09fU77S+vZk3zyACzeEShjN+RIcyMh3cyMaLLuokyeKY&#10;oOFRqRTEOfJnHTSssjQFWRby/4ryFwAA//8DAFBLAQItABQABgAIAAAAIQC2gziS/gAAAOEBAAAT&#10;AAAAAAAAAAAAAAAAAAAAAABbQ29udGVudF9UeXBlc10ueG1sUEsBAi0AFAAGAAgAAAAhADj9If/W&#10;AAAAlAEAAAsAAAAAAAAAAAAAAAAALwEAAF9yZWxzLy5yZWxzUEsBAi0AFAAGAAgAAAAhAOSYK5jV&#10;AQAAjQMAAA4AAAAAAAAAAAAAAAAALgIAAGRycy9lMm9Eb2MueG1sUEsBAi0AFAAGAAgAAAAhAL0k&#10;duvfAAAADQEAAA8AAAAAAAAAAAAAAAAALwQAAGRycy9kb3ducmV2LnhtbFBLBQYAAAAABAAEAPMA&#10;AAA7BQAAAAA=&#10;"/>
            </w:pict>
          </mc:Fallback>
        </mc:AlternateContent>
      </w:r>
      <w:r>
        <w:rPr>
          <w:noProof/>
          <w:sz w:val="20"/>
          <w:szCs w:val="20"/>
          <w:lang w:eastAsia="es-MX"/>
        </w:rPr>
        <mc:AlternateContent>
          <mc:Choice Requires="wps">
            <w:drawing>
              <wp:anchor distT="4294967294" distB="4294967294" distL="114298" distR="114298" simplePos="0" relativeHeight="251657216" behindDoc="0" locked="0" layoutInCell="1" allowOverlap="1" wp14:anchorId="2D4B11D3" wp14:editId="33F78652">
                <wp:simplePos x="0" y="0"/>
                <wp:positionH relativeFrom="column">
                  <wp:posOffset>5924549</wp:posOffset>
                </wp:positionH>
                <wp:positionV relativeFrom="paragraph">
                  <wp:posOffset>3837939</wp:posOffset>
                </wp:positionV>
                <wp:extent cx="0" cy="0"/>
                <wp:effectExtent l="0" t="0" r="0" b="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EEC7" id="Conector recto de flecha 49" o:spid="_x0000_s1026" type="#_x0000_t32" style="position:absolute;margin-left:466.5pt;margin-top:302.2pt;width:0;height:0;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JzgEAAIcDAAAOAAAAZHJzL2Uyb0RvYy54bWysU01v2zAMvQ/YfxB0X5wE67AacXpI1126&#10;LUC7H8BIsi1UFgVKiZ1/P0r5WLfdhvogSyL5yPdIre6mwYmDoWjRN3Ixm0thvEJtfdfIn88PHz5L&#10;ERN4DQ69aeTRRHm3fv9uNYbaLLFHpw0JBvGxHkMj+5RCXVVR9WaAOMNgPBtbpAESH6mrNMHI6IOr&#10;lvP5p2pE0oFQmRj59v5klOuC37ZGpR9tG00SrpFcWyorlXWX12q9grojCL1V5zLgP6oYwHpOeoW6&#10;hwRiT/YfqMEqwohtmikcKmxbq0zhwGwW87/YPPUQTOHC4sRwlSm+Haz6ftiSsLqRH2+l8DBwjzbc&#10;KZWQBOWf0Ea0zqgeBLuwXmOINYdt/JYyYzX5p/CI6iUKj5sefGdK3c/HwFiLHFH9EZIPMXDW3fgN&#10;NfvAPmERb2ppyJAsi5hKj47XHpkpCXW6VJfbCupLSKCYvhocRN40MiYC2/WJqZy4LEoCODzGlAuC&#10;+hKQ83l8sM6VUXBejI28vVnelICIzupszG6Rut3GkThAHqbyFXZsee1GuPe6gPUG9JfzPoF1pz0n&#10;d/4sStbhpOgO9XFLF7G426XK82TmcXp9LtG/38/6FwAAAP//AwBQSwMEFAAGAAgAAAAhADY2MBzd&#10;AAAACwEAAA8AAABkcnMvZG93bnJldi54bWxMj81OwzAQhO9IfQdrK3FB1O4PFU2zqSokDj3SVuLq&#10;xtskEK+j2GlCn75GIMFxZ0cz36SbwdbiQq2vHCNMJwoEce5MxQXC8fD6+AzCB81G144J4Ys8bLLR&#10;XaoT43p+o8s+FCKGsE80QhlCk0jp85Ks9hPXEMff2bVWh3i2hTSt7mO4reVMqaW0uuLYUOqGXkrK&#10;P/edRSDfPU3VdmWL4+7aP7zPrh99c0C8Hw/bNYhAQ/gzwzd+RIcsMp1cx8aLGmE1n8ctAWGpFgsQ&#10;0fGjnH4VmaXy/4bsBgAA//8DAFBLAQItABQABgAIAAAAIQC2gziS/gAAAOEBAAATAAAAAAAAAAAA&#10;AAAAAAAAAABbQ29udGVudF9UeXBlc10ueG1sUEsBAi0AFAAGAAgAAAAhADj9If/WAAAAlAEAAAsA&#10;AAAAAAAAAAAAAAAALwEAAF9yZWxzLy5yZWxzUEsBAi0AFAAGAAgAAAAhAF0P90nOAQAAhwMAAA4A&#10;AAAAAAAAAAAAAAAALgIAAGRycy9lMm9Eb2MueG1sUEsBAi0AFAAGAAgAAAAhADY2MBzdAAAACwEA&#10;AA8AAAAAAAAAAAAAAAAAKAQAAGRycy9kb3ducmV2LnhtbFBLBQYAAAAABAAEAPMAAAAyBQAAAAA=&#10;"/>
            </w:pict>
          </mc:Fallback>
        </mc:AlternateContent>
      </w:r>
      <w:r>
        <w:rPr>
          <w:noProof/>
          <w:sz w:val="20"/>
          <w:szCs w:val="20"/>
          <w:lang w:eastAsia="es-MX"/>
        </w:rPr>
        <mc:AlternateContent>
          <mc:Choice Requires="wps">
            <w:drawing>
              <wp:anchor distT="0" distB="0" distL="114298" distR="114298" simplePos="0" relativeHeight="251656192" behindDoc="0" locked="0" layoutInCell="1" allowOverlap="1" wp14:anchorId="39E8DA3F" wp14:editId="3509704A">
                <wp:simplePos x="0" y="0"/>
                <wp:positionH relativeFrom="column">
                  <wp:posOffset>7086599</wp:posOffset>
                </wp:positionH>
                <wp:positionV relativeFrom="paragraph">
                  <wp:posOffset>1685290</wp:posOffset>
                </wp:positionV>
                <wp:extent cx="0" cy="2152650"/>
                <wp:effectExtent l="0" t="0" r="19050" b="1905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7CAFE" id="Conector recto de flecha 45" o:spid="_x0000_s1026" type="#_x0000_t32" style="position:absolute;margin-left:558pt;margin-top:132.7pt;width:0;height:169.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JO1AEAAI0DAAAOAAAAZHJzL2Uyb0RvYy54bWysU02P0zAQvSPxHyzfaZqKriBquocuy2WB&#10;Srv8gKntJBaOxxq7TfvvGbsfLHBD5ODYnpk3896MV/fH0YmDoWjRt7KezaUwXqG2vm/l95fHdx+k&#10;iAm8BofetPJkorxfv32zmkJjFjig04YEg/jYTKGVQ0qhqaqoBjNCnGEwno0d0giJj9RXmmBi9NFV&#10;i/n8rpqQdCBUJka+fTgb5brgd51R6VvXRZOEayXXlspKZd3ltVqvoOkJwmDVpQz4hypGsJ6T3qAe&#10;IIHYk/0LarSKMGKXZgrHCrvOKlM4MJt6/geb5wGCKVxYnBhuMsX/B6u+HrYkrG7l+6UUHkbu0YY7&#10;pRKSoPwT2ojOGTWAYBfWawqx4bCN31JmrI7+OTyh+hGFx80Avjel7pdTYKw6R1S/heRDDJx1N31B&#10;zT6wT1jEO3Y0ZkiWRRxLj063HpljEup8qfh2US8Xd8vSvwqaa2CgmD4bHEXetDImAtsPiQmdGdUl&#10;DRyeYsplQXMNyFk9PlrnykA4L6ZWflwuliUgorM6G7NbpH63cSQOkEeqfIUjW167Ee69LmCDAf3p&#10;sk9g3XnPyZ2/SJPVOOu6Q33a0lUy7nmp8jKfeahen0v0r1e0/gkAAP//AwBQSwMEFAAGAAgAAAAh&#10;AMCl38XfAAAADQEAAA8AAABkcnMvZG93bnJldi54bWxMj8FOwzAQRO9I/IO1SFwQtROlEYRsqgqJ&#10;A0faSlzdeEkC8TqKnSb063HFAY4zO5p9U24W24sTjb5zjJCsFAji2pmOG4TD/uX+AYQPmo3uHRPC&#10;N3nYVNdXpS6Mm/mNTrvQiFjCvtAIbQhDIaWvW7Lar9xAHG8fbrQ6RDk20ox6juW2l6lSubS64/ih&#10;1QM9t1R/7SaLQH5aJ2r7aJvD63m+e0/Pn/OwR7y9WbZPIAIt4S8MF/yIDlVkOrqJjRd91EmSxzEB&#10;Ic3XGYhL5Nc6IuQqy0BWpfy/ovoBAAD//wMAUEsBAi0AFAAGAAgAAAAhALaDOJL+AAAA4QEAABMA&#10;AAAAAAAAAAAAAAAAAAAAAFtDb250ZW50X1R5cGVzXS54bWxQSwECLQAUAAYACAAAACEAOP0h/9YA&#10;AACUAQAACwAAAAAAAAAAAAAAAAAvAQAAX3JlbHMvLnJlbHNQSwECLQAUAAYACAAAACEA7gkiTtQB&#10;AACNAwAADgAAAAAAAAAAAAAAAAAuAgAAZHJzL2Uyb0RvYy54bWxQSwECLQAUAAYACAAAACEAwKXf&#10;xd8AAAANAQAADwAAAAAAAAAAAAAAAAAuBAAAZHJzL2Rvd25yZXYueG1sUEsFBgAAAAAEAAQA8wAA&#10;ADoFAAAAAA==&#10;"/>
            </w:pict>
          </mc:Fallback>
        </mc:AlternateContent>
      </w:r>
    </w:p>
    <w:p w14:paraId="45107A8E" w14:textId="77777777" w:rsidR="00870169" w:rsidRPr="00870169" w:rsidRDefault="00870169" w:rsidP="00870169">
      <w:pPr>
        <w:numPr>
          <w:ilvl w:val="1"/>
          <w:numId w:val="2"/>
        </w:numPr>
        <w:jc w:val="both"/>
        <w:rPr>
          <w:rFonts w:ascii="Arial" w:hAnsi="Arial" w:cs="Arial"/>
          <w:b/>
          <w:bCs/>
          <w:sz w:val="20"/>
          <w:szCs w:val="20"/>
        </w:rPr>
      </w:pPr>
      <w:bookmarkStart w:id="0" w:name="_Toc529520354"/>
      <w:r w:rsidRPr="00870169">
        <w:rPr>
          <w:rFonts w:ascii="Arial" w:hAnsi="Arial" w:cs="Arial"/>
          <w:b/>
          <w:bCs/>
          <w:sz w:val="20"/>
          <w:szCs w:val="20"/>
          <w:lang w:val="es-ES"/>
        </w:rPr>
        <w:t>ORGANIGRAMA GENERAL</w:t>
      </w:r>
      <w:bookmarkEnd w:id="0"/>
    </w:p>
    <w:p w14:paraId="243A7C91" w14:textId="77777777" w:rsidR="00870169" w:rsidRPr="00870169" w:rsidRDefault="00870169" w:rsidP="00870169">
      <w:pPr>
        <w:jc w:val="both"/>
        <w:rPr>
          <w:rFonts w:ascii="Arial" w:hAnsi="Arial" w:cs="Arial"/>
          <w:b/>
          <w:bCs/>
          <w:sz w:val="20"/>
          <w:szCs w:val="20"/>
        </w:rPr>
      </w:pPr>
    </w:p>
    <w:p w14:paraId="72C99E7D" w14:textId="77777777" w:rsidR="00870169" w:rsidRPr="00870169" w:rsidRDefault="00870169" w:rsidP="00870169">
      <w:pPr>
        <w:jc w:val="both"/>
        <w:rPr>
          <w:rFonts w:ascii="Arial" w:hAnsi="Arial" w:cs="Arial"/>
          <w:b/>
          <w:bCs/>
          <w:sz w:val="20"/>
          <w:szCs w:val="20"/>
        </w:rPr>
      </w:pPr>
      <w:r w:rsidRPr="00870169">
        <w:rPr>
          <w:rFonts w:ascii="Arial" w:hAnsi="Arial" w:cs="Arial"/>
          <w:noProof/>
          <w:sz w:val="20"/>
          <w:szCs w:val="20"/>
          <w:lang w:eastAsia="es-MX"/>
        </w:rPr>
        <w:drawing>
          <wp:inline distT="0" distB="0" distL="0" distR="0" wp14:anchorId="462592B6" wp14:editId="2A7A2310">
            <wp:extent cx="6556108" cy="4161864"/>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957" t="31800" r="24479" b="3399"/>
                    <a:stretch/>
                  </pic:blipFill>
                  <pic:spPr bwMode="auto">
                    <a:xfrm>
                      <a:off x="0" y="0"/>
                      <a:ext cx="6595126" cy="4186633"/>
                    </a:xfrm>
                    <a:prstGeom prst="rect">
                      <a:avLst/>
                    </a:prstGeom>
                    <a:ln>
                      <a:noFill/>
                    </a:ln>
                    <a:extLst>
                      <a:ext uri="{53640926-AAD7-44D8-BBD7-CCE9431645EC}">
                        <a14:shadowObscured xmlns:a14="http://schemas.microsoft.com/office/drawing/2010/main"/>
                      </a:ext>
                    </a:extLst>
                  </pic:spPr>
                </pic:pic>
              </a:graphicData>
            </a:graphic>
          </wp:inline>
        </w:drawing>
      </w:r>
    </w:p>
    <w:p w14:paraId="3BD21D1E" w14:textId="77777777" w:rsidR="005B3885" w:rsidRDefault="005B3885" w:rsidP="005B3885">
      <w:pPr>
        <w:jc w:val="both"/>
        <w:rPr>
          <w:rFonts w:ascii="Arial" w:hAnsi="Arial" w:cs="Arial"/>
          <w:sz w:val="20"/>
          <w:szCs w:val="20"/>
        </w:rPr>
      </w:pPr>
    </w:p>
    <w:p w14:paraId="06B3DD8C" w14:textId="77777777" w:rsidR="00D52DA9" w:rsidRDefault="00D52DA9" w:rsidP="005B3885">
      <w:pPr>
        <w:jc w:val="both"/>
        <w:rPr>
          <w:rFonts w:ascii="Arial" w:hAnsi="Arial" w:cs="Arial"/>
          <w:sz w:val="20"/>
          <w:szCs w:val="20"/>
        </w:rPr>
      </w:pPr>
    </w:p>
    <w:p w14:paraId="3D46E89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Fideicomisos, mandatos y análogos de los cuales es fideicomitente o fiduciario.</w:t>
      </w:r>
    </w:p>
    <w:p w14:paraId="64552964" w14:textId="77777777" w:rsidR="005B3885" w:rsidRDefault="005B3885" w:rsidP="005B3885">
      <w:pPr>
        <w:jc w:val="both"/>
        <w:rPr>
          <w:rFonts w:ascii="Arial" w:hAnsi="Arial" w:cs="Arial"/>
          <w:sz w:val="20"/>
          <w:szCs w:val="20"/>
        </w:rPr>
      </w:pPr>
      <w:r>
        <w:rPr>
          <w:rFonts w:ascii="Arial" w:hAnsi="Arial" w:cs="Arial"/>
          <w:sz w:val="20"/>
          <w:szCs w:val="20"/>
        </w:rPr>
        <w:t>No aplica</w:t>
      </w:r>
    </w:p>
    <w:p w14:paraId="3221C0F0" w14:textId="77777777" w:rsidR="005B3885" w:rsidRPr="0090761C" w:rsidRDefault="005B3885" w:rsidP="005B3885">
      <w:pPr>
        <w:jc w:val="both"/>
        <w:rPr>
          <w:rFonts w:ascii="Arial" w:hAnsi="Arial" w:cs="Arial"/>
          <w:sz w:val="20"/>
          <w:szCs w:val="20"/>
        </w:rPr>
      </w:pPr>
    </w:p>
    <w:p w14:paraId="53F38855"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5. Bases de Preparación de los Estados Financieros:</w:t>
      </w:r>
    </w:p>
    <w:p w14:paraId="40C21A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71749B0D" w14:textId="77777777" w:rsidR="005B3885" w:rsidRDefault="005B3885" w:rsidP="005B3885">
      <w:pPr>
        <w:jc w:val="both"/>
        <w:rPr>
          <w:rFonts w:ascii="Arial" w:hAnsi="Arial" w:cs="Arial"/>
          <w:sz w:val="20"/>
          <w:szCs w:val="20"/>
        </w:rPr>
      </w:pPr>
      <w:r>
        <w:rPr>
          <w:rFonts w:ascii="Arial" w:hAnsi="Arial" w:cs="Arial"/>
          <w:sz w:val="20"/>
          <w:szCs w:val="20"/>
        </w:rPr>
        <w:t>La aplicación de la contabilidad gubernamental se inició a partir del mes de enero 2012, elaborando la lista de cuentas tanto contables como presupuestales de acuerdo a los lineamientos emitidos por el CONAC, así como el reconocimiento de los momentos contables para los ingresos como para los egresos.</w:t>
      </w:r>
    </w:p>
    <w:p w14:paraId="216D31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505EF9B" w14:textId="77777777" w:rsidR="005B3885" w:rsidRPr="0090761C" w:rsidRDefault="005B3885" w:rsidP="005B3885">
      <w:pPr>
        <w:jc w:val="both"/>
        <w:rPr>
          <w:rFonts w:ascii="Arial" w:hAnsi="Arial" w:cs="Arial"/>
          <w:sz w:val="20"/>
          <w:szCs w:val="20"/>
        </w:rPr>
      </w:pPr>
      <w:r>
        <w:rPr>
          <w:rFonts w:ascii="Arial" w:hAnsi="Arial" w:cs="Arial"/>
          <w:sz w:val="20"/>
          <w:szCs w:val="20"/>
        </w:rPr>
        <w:t>Para el reconocimiento del activo, pasivo y patrimonio la normatividad</w:t>
      </w:r>
      <w:r w:rsidRPr="00655F5C">
        <w:t xml:space="preserve"> </w:t>
      </w:r>
      <w:r>
        <w:t xml:space="preserve">que </w:t>
      </w:r>
      <w:r w:rsidRPr="00655F5C">
        <w:rPr>
          <w:rFonts w:ascii="Arial" w:hAnsi="Arial" w:cs="Arial"/>
          <w:sz w:val="20"/>
          <w:szCs w:val="20"/>
        </w:rPr>
        <w:t>se aplica</w:t>
      </w:r>
      <w:r>
        <w:rPr>
          <w:rFonts w:ascii="Arial" w:hAnsi="Arial" w:cs="Arial"/>
          <w:sz w:val="20"/>
          <w:szCs w:val="20"/>
        </w:rPr>
        <w:t xml:space="preserve"> es la de los postulados básicos de contabilidad, y para la elaboración de los estados financieros se basa en lo emitido por el CONAC de acuerdo al clasificador por objeto del gasto, en base al costo histórico.</w:t>
      </w:r>
      <w:r>
        <w:rPr>
          <w:rFonts w:ascii="Arial" w:hAnsi="Arial" w:cs="Arial"/>
          <w:sz w:val="20"/>
          <w:szCs w:val="20"/>
        </w:rPr>
        <w:tab/>
      </w:r>
      <w:r>
        <w:rPr>
          <w:rFonts w:ascii="Arial" w:hAnsi="Arial" w:cs="Arial"/>
          <w:sz w:val="20"/>
          <w:szCs w:val="20"/>
        </w:rPr>
        <w:tab/>
      </w:r>
    </w:p>
    <w:p w14:paraId="7FC60B56"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Postulados básicos</w:t>
      </w:r>
      <w:r>
        <w:rPr>
          <w:rFonts w:ascii="Arial" w:hAnsi="Arial" w:cs="Arial"/>
          <w:sz w:val="20"/>
          <w:szCs w:val="20"/>
        </w:rPr>
        <w:t>.</w:t>
      </w:r>
    </w:p>
    <w:p w14:paraId="6BADD029"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Representan el marco de referencia para el registro de las operaciones tanto contable, patrimonial y presupuestaria, así como para la elaboración y presentación de los estados financieros de donde se obtiene información clara y confiable que se utiliza como base en la toma de decisiones. </w:t>
      </w:r>
    </w:p>
    <w:p w14:paraId="0617A0B8" w14:textId="77777777" w:rsidR="005B3885" w:rsidRPr="0090761C" w:rsidRDefault="005B3885" w:rsidP="005B3885">
      <w:pPr>
        <w:jc w:val="both"/>
        <w:rPr>
          <w:rFonts w:ascii="Arial" w:hAnsi="Arial" w:cs="Arial"/>
          <w:sz w:val="20"/>
          <w:szCs w:val="20"/>
        </w:rPr>
      </w:pPr>
      <w:r>
        <w:rPr>
          <w:rFonts w:ascii="Arial" w:hAnsi="Arial" w:cs="Arial"/>
          <w:sz w:val="20"/>
          <w:szCs w:val="20"/>
        </w:rPr>
        <w:t>d) Normatividad supletoria.</w:t>
      </w:r>
    </w:p>
    <w:p w14:paraId="537D7501"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 puesto que se aplica lo emitido por el CONAC de acuerdo a la Contabilidad Gubernamental.</w:t>
      </w:r>
    </w:p>
    <w:p w14:paraId="0EFE901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r w:rsidR="007A3EE5" w:rsidRPr="0090761C">
        <w:rPr>
          <w:rFonts w:ascii="Arial" w:hAnsi="Arial" w:cs="Arial"/>
          <w:sz w:val="20"/>
          <w:szCs w:val="20"/>
        </w:rPr>
        <w:t>la base devengada</w:t>
      </w:r>
      <w:r w:rsidRPr="0090761C">
        <w:rPr>
          <w:rFonts w:ascii="Arial" w:hAnsi="Arial" w:cs="Arial"/>
          <w:sz w:val="20"/>
          <w:szCs w:val="20"/>
        </w:rPr>
        <w:t xml:space="preserve"> de acuerdo a la Ley de Contabilidad, deberán:</w:t>
      </w:r>
    </w:p>
    <w:p w14:paraId="56EB7FD3"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Revelar las nuevas políticas de reconocimiento:</w:t>
      </w:r>
    </w:p>
    <w:p w14:paraId="2393B2F2"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El gasto se reconoce a la fecha de pago, los ingresos cuando se realizan efectivamente y los activos cuando exista el derecho de cobro. </w:t>
      </w:r>
    </w:p>
    <w:p w14:paraId="7444B9F7"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Plan de implementación:</w:t>
      </w:r>
    </w:p>
    <w:p w14:paraId="0B9F2096" w14:textId="77777777" w:rsidR="005B3885" w:rsidRPr="0090761C" w:rsidRDefault="005B3885" w:rsidP="005B3885">
      <w:pPr>
        <w:jc w:val="both"/>
        <w:rPr>
          <w:rFonts w:ascii="Arial" w:hAnsi="Arial" w:cs="Arial"/>
          <w:sz w:val="20"/>
          <w:szCs w:val="20"/>
        </w:rPr>
      </w:pPr>
      <w:r>
        <w:rPr>
          <w:rFonts w:ascii="Arial" w:hAnsi="Arial" w:cs="Arial"/>
          <w:sz w:val="20"/>
          <w:szCs w:val="20"/>
        </w:rPr>
        <w:t>La Contabilidad Gubernamental se implementó a partir de enero 2012 conforme a las disposiciones del CONAC.</w:t>
      </w:r>
    </w:p>
    <w:p w14:paraId="72B1C4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6. Políticas de Contabilidad Significativas:</w:t>
      </w:r>
    </w:p>
    <w:p w14:paraId="28D304C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Actualización:</w:t>
      </w:r>
    </w:p>
    <w:p w14:paraId="426C124D" w14:textId="77777777" w:rsidR="005B3885" w:rsidRPr="0090761C" w:rsidRDefault="005B3885" w:rsidP="005B3885">
      <w:pPr>
        <w:jc w:val="both"/>
        <w:rPr>
          <w:rFonts w:ascii="Arial" w:hAnsi="Arial" w:cs="Arial"/>
          <w:sz w:val="20"/>
          <w:szCs w:val="20"/>
        </w:rPr>
      </w:pPr>
      <w:r>
        <w:rPr>
          <w:rFonts w:ascii="Arial" w:hAnsi="Arial" w:cs="Arial"/>
          <w:sz w:val="20"/>
          <w:szCs w:val="20"/>
        </w:rPr>
        <w:t>Hasta el momento no se maneja ningún método de actualización.</w:t>
      </w:r>
    </w:p>
    <w:p w14:paraId="4706E80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Informar sobre la realización de operaciones en el extranjero y de sus efectos en la información financiera gubernamental:</w:t>
      </w:r>
    </w:p>
    <w:p w14:paraId="6F00C031" w14:textId="77777777" w:rsidR="005B3885" w:rsidRPr="0090761C" w:rsidRDefault="005B3885" w:rsidP="005B3885">
      <w:pPr>
        <w:jc w:val="both"/>
        <w:rPr>
          <w:rFonts w:ascii="Arial" w:hAnsi="Arial" w:cs="Arial"/>
          <w:sz w:val="20"/>
          <w:szCs w:val="20"/>
        </w:rPr>
      </w:pPr>
      <w:r>
        <w:rPr>
          <w:rFonts w:ascii="Arial" w:hAnsi="Arial" w:cs="Arial"/>
          <w:sz w:val="20"/>
          <w:szCs w:val="20"/>
        </w:rPr>
        <w:t>No se realizan operaciones en el extranjero</w:t>
      </w:r>
    </w:p>
    <w:p w14:paraId="0AD9FB9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Método de valuación de la inversión en acciones de Compañías subsidiarias no consolidadas y asociadas:</w:t>
      </w:r>
    </w:p>
    <w:p w14:paraId="6796410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A4A5E1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Sistema y método de valuación de inventarios y costo de lo vendido:</w:t>
      </w:r>
    </w:p>
    <w:p w14:paraId="6208BEC5" w14:textId="1D420905" w:rsidR="005B3885" w:rsidRPr="0090761C" w:rsidRDefault="005B3885" w:rsidP="005B3885">
      <w:pPr>
        <w:jc w:val="both"/>
        <w:rPr>
          <w:rFonts w:ascii="Arial" w:hAnsi="Arial" w:cs="Arial"/>
          <w:sz w:val="20"/>
          <w:szCs w:val="20"/>
        </w:rPr>
      </w:pPr>
      <w:r>
        <w:rPr>
          <w:rFonts w:ascii="Arial" w:hAnsi="Arial" w:cs="Arial"/>
          <w:sz w:val="20"/>
          <w:szCs w:val="20"/>
        </w:rPr>
        <w:t xml:space="preserve">No se maneja ningún método de valuación de inventarios pues no se comercializan, el activo fijo se </w:t>
      </w:r>
      <w:r w:rsidR="00393BDF">
        <w:rPr>
          <w:rFonts w:ascii="Arial" w:hAnsi="Arial" w:cs="Arial"/>
          <w:sz w:val="20"/>
          <w:szCs w:val="20"/>
        </w:rPr>
        <w:t>valuará</w:t>
      </w:r>
      <w:r>
        <w:rPr>
          <w:rFonts w:ascii="Arial" w:hAnsi="Arial" w:cs="Arial"/>
          <w:sz w:val="20"/>
          <w:szCs w:val="20"/>
        </w:rPr>
        <w:t xml:space="preserve"> al costo de adquisición.</w:t>
      </w:r>
    </w:p>
    <w:p w14:paraId="048B75A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Beneficios a empleados:</w:t>
      </w:r>
    </w:p>
    <w:p w14:paraId="752DDC6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B6CB5C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Provisiones:</w:t>
      </w:r>
    </w:p>
    <w:p w14:paraId="148772C9" w14:textId="77777777" w:rsidR="005B3885" w:rsidRPr="0090761C" w:rsidRDefault="005B3885" w:rsidP="005B3885">
      <w:pPr>
        <w:jc w:val="both"/>
        <w:rPr>
          <w:rFonts w:ascii="Arial" w:hAnsi="Arial" w:cs="Arial"/>
          <w:sz w:val="20"/>
          <w:szCs w:val="20"/>
        </w:rPr>
      </w:pPr>
      <w:r>
        <w:rPr>
          <w:rFonts w:ascii="Arial" w:hAnsi="Arial" w:cs="Arial"/>
          <w:sz w:val="20"/>
          <w:szCs w:val="20"/>
        </w:rPr>
        <w:t>No se crean provisiones</w:t>
      </w:r>
    </w:p>
    <w:p w14:paraId="2B4B3F7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Reservas:</w:t>
      </w:r>
    </w:p>
    <w:p w14:paraId="00CFA0A4" w14:textId="77777777" w:rsidR="005B3885" w:rsidRDefault="005B3885" w:rsidP="005B3885">
      <w:pPr>
        <w:jc w:val="both"/>
        <w:rPr>
          <w:rFonts w:ascii="Arial" w:hAnsi="Arial" w:cs="Arial"/>
          <w:sz w:val="20"/>
          <w:szCs w:val="20"/>
        </w:rPr>
      </w:pPr>
      <w:r>
        <w:rPr>
          <w:rFonts w:ascii="Arial" w:hAnsi="Arial" w:cs="Arial"/>
          <w:sz w:val="20"/>
          <w:szCs w:val="20"/>
        </w:rPr>
        <w:t>No existe ningún tipo de reserva</w:t>
      </w:r>
    </w:p>
    <w:p w14:paraId="38525B3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4A822A31"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hubo cambios en las políticas contables ni corrección de errores.</w:t>
      </w:r>
    </w:p>
    <w:p w14:paraId="7E997D9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i) Reclasificaciones:</w:t>
      </w:r>
    </w:p>
    <w:p w14:paraId="61747B0C"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se realizaron reclasificaciones</w:t>
      </w:r>
    </w:p>
    <w:p w14:paraId="4CA170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j) Depuración y cancelación de saldos:</w:t>
      </w:r>
    </w:p>
    <w:p w14:paraId="685928A4" w14:textId="77777777" w:rsidR="005B3885" w:rsidRPr="0090761C" w:rsidRDefault="005B3885" w:rsidP="005B3885">
      <w:pPr>
        <w:jc w:val="both"/>
        <w:rPr>
          <w:rFonts w:ascii="Arial" w:hAnsi="Arial" w:cs="Arial"/>
          <w:b/>
          <w:sz w:val="20"/>
          <w:szCs w:val="20"/>
        </w:rPr>
      </w:pPr>
      <w:r>
        <w:rPr>
          <w:rFonts w:ascii="Arial" w:hAnsi="Arial" w:cs="Arial"/>
          <w:sz w:val="20"/>
          <w:szCs w:val="20"/>
        </w:rPr>
        <w:t>En lo que corresponde a este periodo no se hizo ninguna cancelación pues las tres cuentas que se manejan continúan operando</w:t>
      </w:r>
    </w:p>
    <w:p w14:paraId="3F79018E" w14:textId="77777777" w:rsidR="005B3885" w:rsidRDefault="005B3885" w:rsidP="005B3885">
      <w:pPr>
        <w:jc w:val="both"/>
        <w:rPr>
          <w:rFonts w:ascii="Arial" w:hAnsi="Arial" w:cs="Arial"/>
          <w:b/>
          <w:sz w:val="20"/>
          <w:szCs w:val="20"/>
        </w:rPr>
      </w:pPr>
    </w:p>
    <w:p w14:paraId="203D86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7. Posición en Moneda Extranjera y Protección por Riesgo Cambiario:</w:t>
      </w:r>
    </w:p>
    <w:p w14:paraId="73613F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Activos en moneda extranjera:</w:t>
      </w:r>
    </w:p>
    <w:p w14:paraId="74C15F89" w14:textId="77777777" w:rsidR="005B3885" w:rsidRPr="0090761C" w:rsidRDefault="005B3885" w:rsidP="005B3885">
      <w:pPr>
        <w:jc w:val="both"/>
        <w:rPr>
          <w:rFonts w:ascii="Arial" w:hAnsi="Arial" w:cs="Arial"/>
          <w:sz w:val="20"/>
          <w:szCs w:val="20"/>
        </w:rPr>
      </w:pPr>
      <w:r>
        <w:rPr>
          <w:rFonts w:ascii="Arial" w:hAnsi="Arial" w:cs="Arial"/>
          <w:sz w:val="20"/>
          <w:szCs w:val="20"/>
        </w:rPr>
        <w:t>No hay activos en moneda extranjera</w:t>
      </w:r>
    </w:p>
    <w:p w14:paraId="397B01F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Pasivos en moneda extranjera:</w:t>
      </w:r>
    </w:p>
    <w:p w14:paraId="3F07D3B9" w14:textId="77777777" w:rsidR="005B3885" w:rsidRPr="0090761C" w:rsidRDefault="005B3885" w:rsidP="005B3885">
      <w:pPr>
        <w:jc w:val="both"/>
        <w:rPr>
          <w:rFonts w:ascii="Arial" w:hAnsi="Arial" w:cs="Arial"/>
          <w:sz w:val="20"/>
          <w:szCs w:val="20"/>
        </w:rPr>
      </w:pPr>
      <w:r>
        <w:rPr>
          <w:rFonts w:ascii="Arial" w:hAnsi="Arial" w:cs="Arial"/>
          <w:sz w:val="20"/>
          <w:szCs w:val="20"/>
        </w:rPr>
        <w:t>No hay pasivos en moneda extranjera</w:t>
      </w:r>
    </w:p>
    <w:p w14:paraId="2A523C5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Posición en moneda extranjera:</w:t>
      </w:r>
    </w:p>
    <w:p w14:paraId="2FE2CC06" w14:textId="77777777" w:rsidR="005B3885" w:rsidRDefault="005B3885" w:rsidP="005B3885">
      <w:pPr>
        <w:jc w:val="both"/>
        <w:rPr>
          <w:rFonts w:ascii="Arial" w:hAnsi="Arial" w:cs="Arial"/>
          <w:sz w:val="20"/>
          <w:szCs w:val="20"/>
        </w:rPr>
      </w:pPr>
      <w:r>
        <w:rPr>
          <w:rFonts w:ascii="Arial" w:hAnsi="Arial" w:cs="Arial"/>
          <w:sz w:val="20"/>
          <w:szCs w:val="20"/>
        </w:rPr>
        <w:t>No aplica</w:t>
      </w:r>
    </w:p>
    <w:p w14:paraId="2AB9CE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d) Tipo de cambio:</w:t>
      </w:r>
    </w:p>
    <w:p w14:paraId="3543741F" w14:textId="77777777" w:rsidR="005B3885" w:rsidRPr="0090761C" w:rsidRDefault="005B3885" w:rsidP="005B3885">
      <w:pPr>
        <w:jc w:val="both"/>
        <w:rPr>
          <w:rFonts w:ascii="Arial" w:hAnsi="Arial" w:cs="Arial"/>
          <w:sz w:val="20"/>
          <w:szCs w:val="20"/>
        </w:rPr>
      </w:pPr>
      <w:r>
        <w:rPr>
          <w:rFonts w:ascii="Arial" w:hAnsi="Arial" w:cs="Arial"/>
          <w:sz w:val="20"/>
          <w:szCs w:val="20"/>
        </w:rPr>
        <w:t>En caso de haber operaciones en moneda extranjera se realiza la conversión al tipo de cambio vigente al día de la operación equivalente en moneda nacional, cabe mencionar que no se realizan operaciones en moneda extranjera.</w:t>
      </w:r>
    </w:p>
    <w:p w14:paraId="77CA9AE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Equivalente en moneda nacional:</w:t>
      </w:r>
    </w:p>
    <w:p w14:paraId="32A69C37"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3CC3B84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8174E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706DA3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8. Reporte Analítico del Activo:</w:t>
      </w:r>
    </w:p>
    <w:p w14:paraId="3929DF7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Vida útil o porcentajes de depreciación, deterioro o amortización utilizados en los diferentes tipos de activos:</w:t>
      </w:r>
    </w:p>
    <w:p w14:paraId="166F1C78" w14:textId="77777777" w:rsidR="005B3885" w:rsidRPr="0090761C" w:rsidRDefault="005B3885" w:rsidP="005B3885">
      <w:pPr>
        <w:jc w:val="both"/>
        <w:rPr>
          <w:rFonts w:ascii="Arial" w:hAnsi="Arial" w:cs="Arial"/>
          <w:sz w:val="20"/>
          <w:szCs w:val="20"/>
        </w:rPr>
      </w:pPr>
      <w:r>
        <w:rPr>
          <w:rFonts w:ascii="Arial" w:hAnsi="Arial" w:cs="Arial"/>
          <w:sz w:val="20"/>
          <w:szCs w:val="20"/>
        </w:rPr>
        <w:t>En el periodo no se aplica la depreciación de los activos</w:t>
      </w:r>
    </w:p>
    <w:p w14:paraId="3FA3F69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Cambios en el porcentaje de depreciación o valor residual de los activos:</w:t>
      </w:r>
    </w:p>
    <w:p w14:paraId="103703C0"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2997A5E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Importe de los gastos capitalizados en el ejercicio, tanto financieros como de investigación y desarrollo:</w:t>
      </w:r>
    </w:p>
    <w:p w14:paraId="39C38D5E" w14:textId="77777777" w:rsidR="005B3885" w:rsidRPr="0090761C" w:rsidRDefault="005B3885" w:rsidP="005B3885">
      <w:pPr>
        <w:jc w:val="both"/>
        <w:rPr>
          <w:rFonts w:ascii="Arial" w:hAnsi="Arial" w:cs="Arial"/>
          <w:sz w:val="20"/>
          <w:szCs w:val="20"/>
        </w:rPr>
      </w:pPr>
      <w:r>
        <w:rPr>
          <w:rFonts w:ascii="Arial" w:hAnsi="Arial" w:cs="Arial"/>
          <w:sz w:val="20"/>
          <w:szCs w:val="20"/>
        </w:rPr>
        <w:t>No hay importe que manifestar</w:t>
      </w:r>
    </w:p>
    <w:p w14:paraId="1E1326D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Riegos por tipo de cambio o tipo de interés de las inversiones financieras:</w:t>
      </w:r>
    </w:p>
    <w:p w14:paraId="5FC4E755" w14:textId="77777777" w:rsidR="005B3885" w:rsidRPr="0090761C" w:rsidRDefault="005B3885" w:rsidP="005B3885">
      <w:pPr>
        <w:jc w:val="both"/>
        <w:rPr>
          <w:rFonts w:ascii="Arial" w:hAnsi="Arial" w:cs="Arial"/>
          <w:sz w:val="20"/>
          <w:szCs w:val="20"/>
        </w:rPr>
      </w:pPr>
      <w:r>
        <w:rPr>
          <w:rFonts w:ascii="Arial" w:hAnsi="Arial" w:cs="Arial"/>
          <w:sz w:val="20"/>
          <w:szCs w:val="20"/>
        </w:rPr>
        <w:t>No aplica, ya que se realizan en moneda nacional</w:t>
      </w:r>
    </w:p>
    <w:p w14:paraId="1FEB85B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Valor activado en el ejercicio de los bienes construidos por la entidad:</w:t>
      </w:r>
    </w:p>
    <w:p w14:paraId="29749AAA"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95E2A8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2C931EF1" w14:textId="77777777" w:rsidR="005B3885" w:rsidRPr="0090761C" w:rsidRDefault="005B3885" w:rsidP="005B3885">
      <w:pPr>
        <w:jc w:val="both"/>
        <w:rPr>
          <w:rFonts w:ascii="Arial" w:hAnsi="Arial" w:cs="Arial"/>
          <w:sz w:val="20"/>
          <w:szCs w:val="20"/>
        </w:rPr>
      </w:pPr>
      <w:r>
        <w:rPr>
          <w:rFonts w:ascii="Arial" w:hAnsi="Arial" w:cs="Arial"/>
          <w:sz w:val="20"/>
          <w:szCs w:val="20"/>
        </w:rPr>
        <w:t>No aplica, pues no se ha suscitado ninguno de los supuestos anteriores</w:t>
      </w:r>
    </w:p>
    <w:p w14:paraId="2316D48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Desmantelamiento de Activos, procedimientos, implicaciones, efectos contables:</w:t>
      </w:r>
    </w:p>
    <w:p w14:paraId="3DE4E64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1162654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h) Administración de activos; planeación con el objetivo de que el ente los utilice de manera más efectiva:</w:t>
      </w:r>
    </w:p>
    <w:p w14:paraId="06D4B6A1"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Las adquisiciones de activo se hacen solamente si este es indispensable para el funcionamiento del ente,  </w:t>
      </w:r>
    </w:p>
    <w:p w14:paraId="296F03CC" w14:textId="77777777" w:rsidR="005B3885" w:rsidRDefault="005B3885" w:rsidP="005B3885">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Pr>
          <w:rFonts w:ascii="Arial" w:hAnsi="Arial" w:cs="Arial"/>
          <w:sz w:val="20"/>
          <w:szCs w:val="20"/>
        </w:rPr>
        <w:t>dros comparativos como sigue:</w:t>
      </w:r>
    </w:p>
    <w:p w14:paraId="22F183A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Inversiones en valores:</w:t>
      </w:r>
    </w:p>
    <w:p w14:paraId="265354CA"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65E87DA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Patrimonio de Organismos descentralizados de Control Presupuestario Indirecto:</w:t>
      </w:r>
    </w:p>
    <w:p w14:paraId="232A742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2EB78E6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Inversiones en empresas de participación mayoritaria:</w:t>
      </w:r>
    </w:p>
    <w:p w14:paraId="52DEFE20"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FC803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Inversiones en empresas de participación minoritaria:</w:t>
      </w:r>
    </w:p>
    <w:p w14:paraId="4735FCA6"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No aplica </w:t>
      </w:r>
    </w:p>
    <w:p w14:paraId="7D2A3B6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Patrimonio de organismos descentralizados de control presupuestario directo, según corresponda:</w:t>
      </w:r>
    </w:p>
    <w:p w14:paraId="5836BD9B"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714CAA2" w14:textId="77777777" w:rsidR="005B3885" w:rsidRPr="0090761C" w:rsidRDefault="005B3885" w:rsidP="005B3885">
      <w:pPr>
        <w:jc w:val="both"/>
        <w:rPr>
          <w:rFonts w:ascii="Arial" w:hAnsi="Arial" w:cs="Arial"/>
          <w:b/>
          <w:sz w:val="20"/>
          <w:szCs w:val="20"/>
        </w:rPr>
      </w:pPr>
    </w:p>
    <w:p w14:paraId="03AE9534"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9. Fideicomisos, Mandatos y Análogos:</w:t>
      </w:r>
    </w:p>
    <w:p w14:paraId="5B9E92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Por ramo administrativo que los reporta:</w:t>
      </w:r>
    </w:p>
    <w:p w14:paraId="6D5501D6"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7134732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Enlistar los de mayor monto de disponibilidad, relacionando aquéllos que conforman el 80% de las disponibilidades:</w:t>
      </w:r>
    </w:p>
    <w:p w14:paraId="0432046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DE05CB5" w14:textId="77777777" w:rsidR="005B3885" w:rsidRPr="0090761C" w:rsidRDefault="005B3885" w:rsidP="005B3885">
      <w:pPr>
        <w:jc w:val="both"/>
        <w:rPr>
          <w:rFonts w:ascii="Arial" w:hAnsi="Arial" w:cs="Arial"/>
          <w:b/>
          <w:sz w:val="20"/>
          <w:szCs w:val="20"/>
        </w:rPr>
      </w:pPr>
      <w:r>
        <w:rPr>
          <w:rFonts w:ascii="Arial" w:hAnsi="Arial" w:cs="Arial"/>
          <w:b/>
          <w:sz w:val="20"/>
          <w:szCs w:val="20"/>
        </w:rPr>
        <w:t>10. Reporte de la Recaudación</w:t>
      </w:r>
      <w:r w:rsidRPr="0090761C">
        <w:rPr>
          <w:rFonts w:ascii="Arial" w:hAnsi="Arial" w:cs="Arial"/>
          <w:b/>
          <w:sz w:val="20"/>
          <w:szCs w:val="20"/>
        </w:rPr>
        <w:t>:</w:t>
      </w:r>
    </w:p>
    <w:p w14:paraId="73514B7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ingresos locales de los federales:</w:t>
      </w:r>
    </w:p>
    <w:p w14:paraId="10C817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Proyección de la recaudación e ingresos en el mediano plazo:</w:t>
      </w:r>
    </w:p>
    <w:p w14:paraId="67282D73" w14:textId="4B658AB9" w:rsidR="005B3885" w:rsidRPr="0090761C" w:rsidRDefault="00EE78E7" w:rsidP="00481111">
      <w:pPr>
        <w:spacing w:after="0" w:line="240" w:lineRule="auto"/>
        <w:jc w:val="both"/>
        <w:rPr>
          <w:rFonts w:ascii="Arial" w:hAnsi="Arial" w:cs="Arial"/>
          <w:sz w:val="20"/>
          <w:szCs w:val="20"/>
        </w:rPr>
      </w:pPr>
      <w:r>
        <w:rPr>
          <w:rFonts w:ascii="Arial" w:hAnsi="Arial" w:cs="Arial"/>
          <w:sz w:val="20"/>
          <w:szCs w:val="20"/>
        </w:rPr>
        <w:t>Para el ejercicio 20</w:t>
      </w:r>
      <w:r w:rsidR="00157ADB">
        <w:rPr>
          <w:rFonts w:ascii="Arial" w:hAnsi="Arial" w:cs="Arial"/>
          <w:sz w:val="20"/>
          <w:szCs w:val="20"/>
        </w:rPr>
        <w:t>2</w:t>
      </w:r>
      <w:r w:rsidR="00481111">
        <w:rPr>
          <w:rFonts w:ascii="Arial" w:hAnsi="Arial" w:cs="Arial"/>
          <w:sz w:val="20"/>
          <w:szCs w:val="20"/>
        </w:rPr>
        <w:t>6</w:t>
      </w:r>
      <w:r w:rsidR="005B3885" w:rsidRPr="00D22ACA">
        <w:rPr>
          <w:rFonts w:ascii="Arial" w:hAnsi="Arial" w:cs="Arial"/>
          <w:sz w:val="20"/>
          <w:szCs w:val="20"/>
        </w:rPr>
        <w:t xml:space="preserve"> se proyecta recaudar ingresos por subsidio estatal en un monto de $ </w:t>
      </w:r>
      <w:r w:rsidR="00827521">
        <w:rPr>
          <w:rFonts w:ascii="Arial" w:hAnsi="Arial" w:cs="Arial"/>
          <w:sz w:val="20"/>
          <w:szCs w:val="20"/>
        </w:rPr>
        <w:t>164,000.00</w:t>
      </w:r>
      <w:r w:rsidR="00AF3696">
        <w:rPr>
          <w:rFonts w:ascii="Arial" w:hAnsi="Arial" w:cs="Arial"/>
          <w:sz w:val="20"/>
          <w:szCs w:val="20"/>
        </w:rPr>
        <w:t>.,</w:t>
      </w:r>
      <w:r w:rsidR="005B3885" w:rsidRPr="00D22ACA">
        <w:rPr>
          <w:rFonts w:ascii="Arial" w:hAnsi="Arial" w:cs="Arial"/>
          <w:sz w:val="20"/>
          <w:szCs w:val="20"/>
        </w:rPr>
        <w:t xml:space="preserve"> de subsidio municipal $ </w:t>
      </w:r>
      <w:r w:rsidR="00481111">
        <w:rPr>
          <w:rFonts w:ascii="Arial" w:hAnsi="Arial" w:cs="Arial"/>
          <w:sz w:val="20"/>
          <w:szCs w:val="20"/>
        </w:rPr>
        <w:t>6</w:t>
      </w:r>
      <w:r w:rsidR="00157ADB">
        <w:rPr>
          <w:rFonts w:ascii="Arial" w:hAnsi="Arial" w:cs="Arial"/>
          <w:sz w:val="20"/>
          <w:szCs w:val="20"/>
        </w:rPr>
        <w:t>,</w:t>
      </w:r>
      <w:r w:rsidR="00481111">
        <w:rPr>
          <w:rFonts w:ascii="Arial" w:hAnsi="Arial" w:cs="Arial"/>
          <w:sz w:val="20"/>
          <w:szCs w:val="20"/>
        </w:rPr>
        <w:t>441</w:t>
      </w:r>
      <w:r w:rsidR="00827521">
        <w:rPr>
          <w:rFonts w:ascii="Arial" w:hAnsi="Arial" w:cs="Arial"/>
          <w:sz w:val="20"/>
          <w:szCs w:val="20"/>
        </w:rPr>
        <w:t>,</w:t>
      </w:r>
      <w:r w:rsidR="00481111">
        <w:rPr>
          <w:rFonts w:ascii="Arial" w:hAnsi="Arial" w:cs="Arial"/>
          <w:sz w:val="20"/>
          <w:szCs w:val="20"/>
        </w:rPr>
        <w:t>532</w:t>
      </w:r>
      <w:r w:rsidR="004D3588">
        <w:rPr>
          <w:rFonts w:ascii="Arial" w:hAnsi="Arial" w:cs="Arial"/>
          <w:sz w:val="20"/>
          <w:szCs w:val="20"/>
        </w:rPr>
        <w:t>.00</w:t>
      </w:r>
      <w:r w:rsidR="00481111">
        <w:rPr>
          <w:rFonts w:ascii="Arial" w:hAnsi="Arial" w:cs="Arial"/>
          <w:sz w:val="20"/>
          <w:szCs w:val="20"/>
        </w:rPr>
        <w:t xml:space="preserve"> </w:t>
      </w:r>
      <w:r w:rsidR="005B3885" w:rsidRPr="00D22ACA">
        <w:rPr>
          <w:rFonts w:ascii="Arial" w:hAnsi="Arial" w:cs="Arial"/>
          <w:sz w:val="20"/>
          <w:szCs w:val="20"/>
        </w:rPr>
        <w:t>de ingresos propios obtenidos de la impartición de talleres</w:t>
      </w:r>
      <w:r w:rsidR="00AF3696">
        <w:rPr>
          <w:rFonts w:ascii="Arial" w:hAnsi="Arial" w:cs="Arial"/>
          <w:sz w:val="20"/>
          <w:szCs w:val="20"/>
        </w:rPr>
        <w:t>, prestación de servicios</w:t>
      </w:r>
      <w:r w:rsidR="005B3885" w:rsidRPr="00D22ACA">
        <w:rPr>
          <w:rFonts w:ascii="Arial" w:hAnsi="Arial" w:cs="Arial"/>
          <w:sz w:val="20"/>
          <w:szCs w:val="20"/>
        </w:rPr>
        <w:t xml:space="preserve"> y venta de libros por un monto de $ </w:t>
      </w:r>
      <w:r w:rsidR="00481111">
        <w:rPr>
          <w:rFonts w:ascii="Arial" w:hAnsi="Arial" w:cs="Arial"/>
          <w:sz w:val="20"/>
          <w:szCs w:val="20"/>
        </w:rPr>
        <w:t>341,500</w:t>
      </w:r>
      <w:r w:rsidR="00E277A5">
        <w:rPr>
          <w:rFonts w:ascii="Arial" w:hAnsi="Arial" w:cs="Arial"/>
          <w:sz w:val="20"/>
          <w:szCs w:val="20"/>
        </w:rPr>
        <w:t>.</w:t>
      </w:r>
      <w:r w:rsidR="004D3588">
        <w:rPr>
          <w:rFonts w:ascii="Arial" w:hAnsi="Arial" w:cs="Arial"/>
          <w:sz w:val="20"/>
          <w:szCs w:val="20"/>
        </w:rPr>
        <w:t>00</w:t>
      </w:r>
    </w:p>
    <w:p w14:paraId="1F13D534" w14:textId="77777777" w:rsidR="00481111" w:rsidRDefault="00481111" w:rsidP="005B3885">
      <w:pPr>
        <w:jc w:val="both"/>
        <w:rPr>
          <w:rFonts w:ascii="Arial" w:hAnsi="Arial" w:cs="Arial"/>
          <w:b/>
          <w:sz w:val="20"/>
          <w:szCs w:val="20"/>
        </w:rPr>
      </w:pPr>
    </w:p>
    <w:p w14:paraId="0B6480AD" w14:textId="1187BABE" w:rsidR="005B3885" w:rsidRPr="0090761C" w:rsidRDefault="005B3885" w:rsidP="005B3885">
      <w:pPr>
        <w:jc w:val="both"/>
        <w:rPr>
          <w:rFonts w:ascii="Arial" w:hAnsi="Arial" w:cs="Arial"/>
          <w:b/>
          <w:sz w:val="20"/>
          <w:szCs w:val="20"/>
        </w:rPr>
      </w:pPr>
      <w:r w:rsidRPr="0090761C">
        <w:rPr>
          <w:rFonts w:ascii="Arial" w:hAnsi="Arial" w:cs="Arial"/>
          <w:b/>
          <w:sz w:val="20"/>
          <w:szCs w:val="20"/>
        </w:rPr>
        <w:t>11. Información sobre la Deuda y el Reporte Analítico de la Deuda:</w:t>
      </w:r>
    </w:p>
    <w:p w14:paraId="29A935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p>
    <w:p w14:paraId="5B85BC94" w14:textId="77777777" w:rsidR="005B3885" w:rsidRDefault="005B3885" w:rsidP="005B3885">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34A0558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 Se </w:t>
      </w:r>
      <w:r w:rsidR="007A3EE5" w:rsidRPr="0090761C">
        <w:rPr>
          <w:rFonts w:ascii="Arial" w:hAnsi="Arial" w:cs="Arial"/>
          <w:sz w:val="20"/>
          <w:szCs w:val="20"/>
        </w:rPr>
        <w:t>anexará</w:t>
      </w:r>
      <w:r w:rsidRPr="0090761C">
        <w:rPr>
          <w:rFonts w:ascii="Arial" w:hAnsi="Arial" w:cs="Arial"/>
          <w:sz w:val="20"/>
          <w:szCs w:val="20"/>
        </w:rPr>
        <w:t xml:space="preserve"> la información en las notas de desglose.</w:t>
      </w:r>
    </w:p>
    <w:p w14:paraId="05FEEF9F" w14:textId="77777777" w:rsidR="005B3885" w:rsidRPr="000A03FC" w:rsidRDefault="005B3885" w:rsidP="005B3885">
      <w:pPr>
        <w:jc w:val="both"/>
        <w:rPr>
          <w:rFonts w:ascii="Arial" w:hAnsi="Arial" w:cs="Arial"/>
          <w:sz w:val="20"/>
          <w:szCs w:val="20"/>
        </w:rPr>
      </w:pPr>
      <w:r w:rsidRPr="000A03FC">
        <w:rPr>
          <w:rFonts w:ascii="Arial" w:hAnsi="Arial" w:cs="Arial"/>
          <w:sz w:val="20"/>
          <w:szCs w:val="20"/>
        </w:rPr>
        <w:t>No se tiene deuda</w:t>
      </w:r>
    </w:p>
    <w:p w14:paraId="76D0F43E" w14:textId="77777777" w:rsidR="00481111" w:rsidRDefault="00481111" w:rsidP="005B3885">
      <w:pPr>
        <w:jc w:val="both"/>
        <w:rPr>
          <w:rFonts w:ascii="Arial" w:hAnsi="Arial" w:cs="Arial"/>
          <w:b/>
          <w:sz w:val="20"/>
          <w:szCs w:val="20"/>
        </w:rPr>
      </w:pPr>
    </w:p>
    <w:p w14:paraId="59773E14" w14:textId="77777777" w:rsidR="00481111" w:rsidRDefault="00481111" w:rsidP="005B3885">
      <w:pPr>
        <w:jc w:val="both"/>
        <w:rPr>
          <w:rFonts w:ascii="Arial" w:hAnsi="Arial" w:cs="Arial"/>
          <w:b/>
          <w:sz w:val="20"/>
          <w:szCs w:val="20"/>
        </w:rPr>
      </w:pPr>
    </w:p>
    <w:p w14:paraId="203B61BC" w14:textId="4936E18A" w:rsidR="005B3885" w:rsidRPr="0090761C" w:rsidRDefault="005B3885" w:rsidP="005B3885">
      <w:pPr>
        <w:jc w:val="both"/>
        <w:rPr>
          <w:rFonts w:ascii="Arial" w:hAnsi="Arial" w:cs="Arial"/>
          <w:b/>
          <w:sz w:val="20"/>
          <w:szCs w:val="20"/>
        </w:rPr>
      </w:pPr>
      <w:r w:rsidRPr="0090761C">
        <w:rPr>
          <w:rFonts w:ascii="Arial" w:hAnsi="Arial" w:cs="Arial"/>
          <w:b/>
          <w:sz w:val="20"/>
          <w:szCs w:val="20"/>
        </w:rPr>
        <w:lastRenderedPageBreak/>
        <w:t>12. Calificaciones otorgadas:</w:t>
      </w:r>
    </w:p>
    <w:p w14:paraId="21211AE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sujeta a una calificación crediticia:</w:t>
      </w:r>
    </w:p>
    <w:p w14:paraId="0E11CCD7" w14:textId="77777777" w:rsidR="005B3885" w:rsidRPr="0090761C" w:rsidRDefault="005B3885" w:rsidP="005B3885">
      <w:pPr>
        <w:jc w:val="both"/>
        <w:rPr>
          <w:rFonts w:ascii="Arial" w:hAnsi="Arial" w:cs="Arial"/>
          <w:sz w:val="20"/>
          <w:szCs w:val="20"/>
        </w:rPr>
      </w:pPr>
      <w:r>
        <w:rPr>
          <w:rFonts w:ascii="Arial" w:hAnsi="Arial" w:cs="Arial"/>
          <w:sz w:val="20"/>
          <w:szCs w:val="20"/>
        </w:rPr>
        <w:t>No se ha sido sujeto de esta calificación</w:t>
      </w:r>
    </w:p>
    <w:p w14:paraId="5BEBFB11" w14:textId="77777777" w:rsidR="005B3885" w:rsidRPr="001F6D72" w:rsidRDefault="005B3885" w:rsidP="005B3885">
      <w:pPr>
        <w:jc w:val="both"/>
        <w:rPr>
          <w:rFonts w:ascii="Arial" w:hAnsi="Arial" w:cs="Arial"/>
          <w:sz w:val="20"/>
          <w:szCs w:val="20"/>
        </w:rPr>
      </w:pPr>
      <w:r w:rsidRPr="001F6D72">
        <w:rPr>
          <w:rFonts w:ascii="Arial" w:hAnsi="Arial" w:cs="Arial"/>
          <w:sz w:val="20"/>
          <w:szCs w:val="20"/>
        </w:rPr>
        <w:t>13. Proceso de Mejora:</w:t>
      </w:r>
    </w:p>
    <w:p w14:paraId="070BA66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informará de:</w:t>
      </w:r>
    </w:p>
    <w:p w14:paraId="64FB6E1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Principales Políticas de control interno:</w:t>
      </w:r>
    </w:p>
    <w:p w14:paraId="1CBC77A7" w14:textId="77777777" w:rsidR="005B3885" w:rsidRDefault="005B3885" w:rsidP="005B3885">
      <w:pPr>
        <w:jc w:val="both"/>
        <w:rPr>
          <w:rFonts w:ascii="Arial" w:hAnsi="Arial" w:cs="Arial"/>
          <w:sz w:val="20"/>
          <w:szCs w:val="20"/>
        </w:rPr>
      </w:pPr>
      <w:r>
        <w:rPr>
          <w:rFonts w:ascii="Arial" w:hAnsi="Arial" w:cs="Arial"/>
          <w:sz w:val="20"/>
          <w:szCs w:val="20"/>
        </w:rPr>
        <w:t xml:space="preserve">En relación a las prestaciones que se otorgan al personal en </w:t>
      </w:r>
      <w:r w:rsidR="00333EA4">
        <w:rPr>
          <w:rFonts w:ascii="Arial" w:hAnsi="Arial" w:cs="Arial"/>
          <w:sz w:val="20"/>
          <w:szCs w:val="20"/>
        </w:rPr>
        <w:t>específico</w:t>
      </w:r>
      <w:r>
        <w:rPr>
          <w:rFonts w:ascii="Arial" w:hAnsi="Arial" w:cs="Arial"/>
          <w:sz w:val="20"/>
          <w:szCs w:val="20"/>
        </w:rPr>
        <w:t xml:space="preserve"> anticipo de salario se solicitarán mediante oficio y se </w:t>
      </w:r>
      <w:r w:rsidR="007A3EE5">
        <w:rPr>
          <w:rFonts w:ascii="Arial" w:hAnsi="Arial" w:cs="Arial"/>
          <w:sz w:val="20"/>
          <w:szCs w:val="20"/>
        </w:rPr>
        <w:t>otorgarán</w:t>
      </w:r>
      <w:r>
        <w:rPr>
          <w:rFonts w:ascii="Arial" w:hAnsi="Arial" w:cs="Arial"/>
          <w:sz w:val="20"/>
          <w:szCs w:val="20"/>
        </w:rPr>
        <w:t xml:space="preserve"> vía nomina, dicho descuento se realizara en las siguientes dos quincenas.</w:t>
      </w:r>
    </w:p>
    <w:p w14:paraId="0546F3B9" w14:textId="77777777" w:rsidR="005B3885" w:rsidRDefault="005B3885" w:rsidP="005B3885">
      <w:pPr>
        <w:jc w:val="both"/>
        <w:rPr>
          <w:rFonts w:ascii="Arial" w:hAnsi="Arial" w:cs="Arial"/>
          <w:sz w:val="20"/>
          <w:szCs w:val="20"/>
        </w:rPr>
      </w:pPr>
      <w:r>
        <w:rPr>
          <w:rFonts w:ascii="Arial" w:hAnsi="Arial" w:cs="Arial"/>
          <w:sz w:val="20"/>
          <w:szCs w:val="20"/>
        </w:rPr>
        <w:t xml:space="preserve">Gastos a comprobar se </w:t>
      </w:r>
      <w:r w:rsidR="007A3EE5">
        <w:rPr>
          <w:rFonts w:ascii="Arial" w:hAnsi="Arial" w:cs="Arial"/>
          <w:sz w:val="20"/>
          <w:szCs w:val="20"/>
        </w:rPr>
        <w:t>otorgarán</w:t>
      </w:r>
      <w:r>
        <w:rPr>
          <w:rFonts w:ascii="Arial" w:hAnsi="Arial" w:cs="Arial"/>
          <w:sz w:val="20"/>
          <w:szCs w:val="20"/>
        </w:rPr>
        <w:t xml:space="preserve"> a personal de casa de cultura que se encuentren dados de alta en la </w:t>
      </w:r>
      <w:r w:rsidR="00333EA4">
        <w:rPr>
          <w:rFonts w:ascii="Arial" w:hAnsi="Arial" w:cs="Arial"/>
          <w:sz w:val="20"/>
          <w:szCs w:val="20"/>
        </w:rPr>
        <w:t>nómina</w:t>
      </w:r>
      <w:r>
        <w:rPr>
          <w:rFonts w:ascii="Arial" w:hAnsi="Arial" w:cs="Arial"/>
          <w:sz w:val="20"/>
          <w:szCs w:val="20"/>
        </w:rPr>
        <w:t xml:space="preserve">, y dichos gastos se </w:t>
      </w:r>
      <w:r w:rsidR="007A3EE5">
        <w:rPr>
          <w:rFonts w:ascii="Arial" w:hAnsi="Arial" w:cs="Arial"/>
          <w:sz w:val="20"/>
          <w:szCs w:val="20"/>
        </w:rPr>
        <w:t>descontarán</w:t>
      </w:r>
      <w:r>
        <w:rPr>
          <w:rFonts w:ascii="Arial" w:hAnsi="Arial" w:cs="Arial"/>
          <w:sz w:val="20"/>
          <w:szCs w:val="20"/>
        </w:rPr>
        <w:t xml:space="preserve"> en la misma al no ser comprobados en los siguientes diez días hábiles a la fecha de expedición del cheque.</w:t>
      </w:r>
    </w:p>
    <w:p w14:paraId="0E00C093" w14:textId="77777777" w:rsidR="005B3885" w:rsidRDefault="005B3885" w:rsidP="005B3885">
      <w:pPr>
        <w:jc w:val="both"/>
        <w:rPr>
          <w:rFonts w:ascii="Arial" w:hAnsi="Arial" w:cs="Arial"/>
          <w:sz w:val="20"/>
          <w:szCs w:val="20"/>
        </w:rPr>
      </w:pPr>
      <w:r>
        <w:rPr>
          <w:rFonts w:ascii="Arial" w:hAnsi="Arial" w:cs="Arial"/>
          <w:sz w:val="20"/>
          <w:szCs w:val="20"/>
        </w:rPr>
        <w:t>En lo que respecta a los ingresos que se obtienen por talleres se elabora una ficha previa al depósito la cual deberá ser expedida por el coordinador académico, mismo que debe llevar un registro de las mismas, las cuales a fin de mes se concilian con los depósitos de banco.</w:t>
      </w:r>
    </w:p>
    <w:p w14:paraId="4DE87C00" w14:textId="47418CEB" w:rsidR="005B3885" w:rsidRPr="00151711" w:rsidRDefault="005B3885" w:rsidP="005B3885">
      <w:pPr>
        <w:jc w:val="both"/>
        <w:rPr>
          <w:rFonts w:ascii="Arial" w:hAnsi="Arial" w:cs="Arial"/>
          <w:sz w:val="20"/>
          <w:szCs w:val="20"/>
        </w:rPr>
      </w:pPr>
      <w:r w:rsidRPr="00151711">
        <w:rPr>
          <w:rFonts w:ascii="Arial" w:hAnsi="Arial" w:cs="Arial"/>
          <w:sz w:val="20"/>
          <w:szCs w:val="20"/>
        </w:rPr>
        <w:t xml:space="preserve">Se </w:t>
      </w:r>
      <w:r>
        <w:rPr>
          <w:rFonts w:ascii="Arial" w:hAnsi="Arial" w:cs="Arial"/>
          <w:sz w:val="20"/>
          <w:szCs w:val="20"/>
        </w:rPr>
        <w:t>util</w:t>
      </w:r>
      <w:r w:rsidR="001219BB">
        <w:rPr>
          <w:rFonts w:ascii="Arial" w:hAnsi="Arial" w:cs="Arial"/>
          <w:sz w:val="20"/>
          <w:szCs w:val="20"/>
        </w:rPr>
        <w:t xml:space="preserve">izan los programas de </w:t>
      </w:r>
      <w:r w:rsidR="001219BB" w:rsidRPr="001219BB">
        <w:rPr>
          <w:rFonts w:ascii="Arial" w:hAnsi="Arial" w:cs="Arial"/>
          <w:sz w:val="20"/>
          <w:szCs w:val="20"/>
        </w:rPr>
        <w:t>Sistema Integral de la Hacienda Pública (SIHP)</w:t>
      </w:r>
      <w:r w:rsidRPr="001219BB">
        <w:rPr>
          <w:rFonts w:ascii="Arial" w:hAnsi="Arial" w:cs="Arial"/>
          <w:sz w:val="20"/>
          <w:szCs w:val="20"/>
        </w:rPr>
        <w:t xml:space="preserve"> </w:t>
      </w:r>
      <w:r>
        <w:rPr>
          <w:rFonts w:ascii="Arial" w:hAnsi="Arial" w:cs="Arial"/>
          <w:sz w:val="20"/>
          <w:szCs w:val="20"/>
        </w:rPr>
        <w:t>mismos que se están operando con forme a la contabilidad gubernamental y los lineamientos emitidos por el CONAC.</w:t>
      </w:r>
    </w:p>
    <w:p w14:paraId="6AE9F978" w14:textId="77777777" w:rsidR="005B3885" w:rsidRDefault="005B3885" w:rsidP="005B3885">
      <w:pPr>
        <w:jc w:val="both"/>
        <w:rPr>
          <w:rFonts w:ascii="Arial" w:hAnsi="Arial" w:cs="Arial"/>
          <w:color w:val="C00000"/>
          <w:sz w:val="20"/>
          <w:szCs w:val="20"/>
        </w:rPr>
      </w:pPr>
    </w:p>
    <w:p w14:paraId="2D1458E5"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Medidas de desempeño financiero, metas y alcance:</w:t>
      </w:r>
    </w:p>
    <w:p w14:paraId="00A31D0A" w14:textId="77777777" w:rsidR="005B3885" w:rsidRPr="00333EA4" w:rsidRDefault="005B3885" w:rsidP="005B3885">
      <w:pPr>
        <w:jc w:val="both"/>
        <w:rPr>
          <w:rFonts w:ascii="Arial" w:hAnsi="Arial" w:cs="Arial"/>
          <w:sz w:val="20"/>
          <w:szCs w:val="20"/>
        </w:rPr>
      </w:pPr>
      <w:r>
        <w:rPr>
          <w:rFonts w:ascii="Arial" w:hAnsi="Arial" w:cs="Arial"/>
          <w:sz w:val="20"/>
          <w:szCs w:val="20"/>
        </w:rPr>
        <w:t xml:space="preserve">Las medidas que se toman es llevar un control adecuado de los recursos, apegarse al presupuesto de egresos y gastar en lo estrictamente necesario para el funcionamiento de este Organismo, ofreciendo un excelente trato y promoviendo en la </w:t>
      </w:r>
      <w:r w:rsidR="007A3EE5">
        <w:rPr>
          <w:rFonts w:ascii="Arial" w:hAnsi="Arial" w:cs="Arial"/>
          <w:sz w:val="20"/>
          <w:szCs w:val="20"/>
        </w:rPr>
        <w:t>ciudadanía en</w:t>
      </w:r>
      <w:r>
        <w:rPr>
          <w:rFonts w:ascii="Arial" w:hAnsi="Arial" w:cs="Arial"/>
          <w:sz w:val="20"/>
          <w:szCs w:val="20"/>
        </w:rPr>
        <w:t xml:space="preserve"> los servicios que se ofrecen por parte de Casa de Cultura.</w:t>
      </w:r>
    </w:p>
    <w:p w14:paraId="0C9DC5ED" w14:textId="77777777" w:rsidR="005B3885" w:rsidRDefault="005B3885" w:rsidP="005B3885">
      <w:pPr>
        <w:jc w:val="both"/>
        <w:rPr>
          <w:rFonts w:ascii="Arial" w:hAnsi="Arial" w:cs="Arial"/>
          <w:b/>
          <w:sz w:val="20"/>
          <w:szCs w:val="20"/>
        </w:rPr>
      </w:pPr>
    </w:p>
    <w:p w14:paraId="1BBEDEE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14. Información por Segmentos:</w:t>
      </w:r>
    </w:p>
    <w:p w14:paraId="047A260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D120EDB" w14:textId="77777777" w:rsidR="005B3885" w:rsidRPr="00333EA4" w:rsidRDefault="005B3885" w:rsidP="005B3885">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Pr>
          <w:rFonts w:ascii="Arial" w:hAnsi="Arial" w:cs="Arial"/>
          <w:sz w:val="20"/>
          <w:szCs w:val="20"/>
        </w:rPr>
        <w:t>imiento potencial de negocio.</w:t>
      </w:r>
    </w:p>
    <w:p w14:paraId="18D0D91D" w14:textId="74823083" w:rsidR="005B3885" w:rsidRDefault="005B3885" w:rsidP="005B3885">
      <w:pPr>
        <w:jc w:val="both"/>
        <w:rPr>
          <w:rFonts w:ascii="Arial" w:hAnsi="Arial" w:cs="Arial"/>
          <w:b/>
          <w:sz w:val="20"/>
          <w:szCs w:val="20"/>
        </w:rPr>
      </w:pPr>
    </w:p>
    <w:p w14:paraId="418C0428" w14:textId="33884208" w:rsidR="00D05681" w:rsidRDefault="00D05681" w:rsidP="005B3885">
      <w:pPr>
        <w:jc w:val="both"/>
        <w:rPr>
          <w:rFonts w:ascii="Arial" w:hAnsi="Arial" w:cs="Arial"/>
          <w:b/>
          <w:sz w:val="20"/>
          <w:szCs w:val="20"/>
        </w:rPr>
      </w:pPr>
    </w:p>
    <w:p w14:paraId="0D59FC09" w14:textId="77777777" w:rsidR="00D05681" w:rsidRDefault="00D05681" w:rsidP="005B3885">
      <w:pPr>
        <w:jc w:val="both"/>
        <w:rPr>
          <w:rFonts w:ascii="Arial" w:hAnsi="Arial" w:cs="Arial"/>
          <w:b/>
          <w:sz w:val="20"/>
          <w:szCs w:val="20"/>
        </w:rPr>
      </w:pPr>
    </w:p>
    <w:p w14:paraId="2B125BF1" w14:textId="77777777" w:rsidR="00D05681" w:rsidRDefault="00D05681" w:rsidP="005B3885">
      <w:pPr>
        <w:jc w:val="both"/>
        <w:rPr>
          <w:rFonts w:ascii="Arial" w:hAnsi="Arial" w:cs="Arial"/>
          <w:b/>
          <w:sz w:val="20"/>
          <w:szCs w:val="20"/>
        </w:rPr>
      </w:pPr>
    </w:p>
    <w:p w14:paraId="1F25FEC2" w14:textId="1A00C856" w:rsidR="005B3885" w:rsidRPr="0090761C" w:rsidRDefault="005B3885" w:rsidP="005B3885">
      <w:pPr>
        <w:jc w:val="both"/>
        <w:rPr>
          <w:rFonts w:ascii="Arial" w:hAnsi="Arial" w:cs="Arial"/>
          <w:b/>
          <w:sz w:val="20"/>
          <w:szCs w:val="20"/>
        </w:rPr>
      </w:pPr>
      <w:r w:rsidRPr="0090761C">
        <w:rPr>
          <w:rFonts w:ascii="Arial" w:hAnsi="Arial" w:cs="Arial"/>
          <w:b/>
          <w:sz w:val="20"/>
          <w:szCs w:val="20"/>
        </w:rPr>
        <w:t>15. Eventos Posteriores al Cierre:</w:t>
      </w:r>
    </w:p>
    <w:p w14:paraId="0FAB2E6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7A3EE5" w:rsidRPr="0090761C">
        <w:rPr>
          <w:rFonts w:ascii="Arial" w:hAnsi="Arial" w:cs="Arial"/>
          <w:sz w:val="20"/>
          <w:szCs w:val="20"/>
        </w:rPr>
        <w:t>afectan económicamente</w:t>
      </w:r>
      <w:r w:rsidRPr="0090761C">
        <w:rPr>
          <w:rFonts w:ascii="Arial" w:hAnsi="Arial" w:cs="Arial"/>
          <w:sz w:val="20"/>
          <w:szCs w:val="20"/>
        </w:rPr>
        <w:t xml:space="preserve"> y que no se co</w:t>
      </w:r>
      <w:r>
        <w:rPr>
          <w:rFonts w:ascii="Arial" w:hAnsi="Arial" w:cs="Arial"/>
          <w:sz w:val="20"/>
          <w:szCs w:val="20"/>
        </w:rPr>
        <w:t>nocían a la fecha de cierre.</w:t>
      </w:r>
    </w:p>
    <w:p w14:paraId="3520A5D3" w14:textId="0CF805C4" w:rsidR="005B3885" w:rsidRPr="00781662" w:rsidRDefault="000E5E16" w:rsidP="005B3885">
      <w:pPr>
        <w:jc w:val="both"/>
        <w:rPr>
          <w:rFonts w:ascii="Arial" w:hAnsi="Arial" w:cs="Arial"/>
          <w:sz w:val="20"/>
          <w:szCs w:val="20"/>
        </w:rPr>
      </w:pPr>
      <w:r>
        <w:rPr>
          <w:rFonts w:ascii="Arial" w:hAnsi="Arial" w:cs="Arial"/>
          <w:sz w:val="20"/>
          <w:szCs w:val="20"/>
        </w:rPr>
        <w:t>Al mes de enero 20</w:t>
      </w:r>
      <w:r w:rsidR="006C79A6">
        <w:rPr>
          <w:rFonts w:ascii="Arial" w:hAnsi="Arial" w:cs="Arial"/>
          <w:sz w:val="20"/>
          <w:szCs w:val="20"/>
        </w:rPr>
        <w:t>2</w:t>
      </w:r>
      <w:r w:rsidR="00EA4F50">
        <w:rPr>
          <w:rFonts w:ascii="Arial" w:hAnsi="Arial" w:cs="Arial"/>
          <w:sz w:val="20"/>
          <w:szCs w:val="20"/>
        </w:rPr>
        <w:t>4</w:t>
      </w:r>
      <w:r w:rsidR="005B3885">
        <w:rPr>
          <w:rFonts w:ascii="Arial" w:hAnsi="Arial" w:cs="Arial"/>
          <w:sz w:val="20"/>
          <w:szCs w:val="20"/>
        </w:rPr>
        <w:t xml:space="preserve"> no hay eventos posteriores</w:t>
      </w:r>
    </w:p>
    <w:p w14:paraId="40865928" w14:textId="77777777" w:rsidR="006C79A6" w:rsidRDefault="006C79A6" w:rsidP="005B3885">
      <w:pPr>
        <w:jc w:val="both"/>
        <w:rPr>
          <w:rFonts w:ascii="Arial" w:hAnsi="Arial" w:cs="Arial"/>
          <w:b/>
          <w:sz w:val="20"/>
          <w:szCs w:val="20"/>
        </w:rPr>
      </w:pPr>
    </w:p>
    <w:p w14:paraId="7D1734A3" w14:textId="77777777" w:rsidR="006C79A6" w:rsidRDefault="006C79A6" w:rsidP="005B3885">
      <w:pPr>
        <w:jc w:val="both"/>
        <w:rPr>
          <w:rFonts w:ascii="Arial" w:hAnsi="Arial" w:cs="Arial"/>
          <w:b/>
          <w:sz w:val="20"/>
          <w:szCs w:val="20"/>
        </w:rPr>
      </w:pPr>
    </w:p>
    <w:p w14:paraId="7E4B3AA3"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16. Partes Relacionadas:</w:t>
      </w:r>
    </w:p>
    <w:p w14:paraId="27156EE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decisiones financieras y operativas:</w:t>
      </w:r>
    </w:p>
    <w:p w14:paraId="7C4D9A11" w14:textId="77777777" w:rsidR="005B3885" w:rsidRPr="00B109BB" w:rsidRDefault="005B3885" w:rsidP="005B3885">
      <w:pPr>
        <w:jc w:val="both"/>
        <w:rPr>
          <w:rFonts w:ascii="Arial" w:hAnsi="Arial" w:cs="Arial"/>
          <w:sz w:val="20"/>
          <w:szCs w:val="20"/>
        </w:rPr>
      </w:pPr>
      <w:r>
        <w:rPr>
          <w:rFonts w:ascii="Arial" w:hAnsi="Arial" w:cs="Arial"/>
          <w:sz w:val="20"/>
          <w:szCs w:val="20"/>
        </w:rPr>
        <w:t>En Casa de Cultura del Municipio de Acámbaro no existen partes relacionadas de ningún tipo.</w:t>
      </w:r>
    </w:p>
    <w:p w14:paraId="481C76CF"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17. Responsabilidad sobre la presentación razonable de los Estados Financieros:</w:t>
      </w:r>
    </w:p>
    <w:p w14:paraId="0706CE2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Pr>
          <w:rFonts w:ascii="Arial" w:hAnsi="Arial" w:cs="Arial"/>
          <w:sz w:val="20"/>
          <w:szCs w:val="20"/>
        </w:rPr>
        <w:t>.</w:t>
      </w:r>
    </w:p>
    <w:p w14:paraId="2B1E5CD2" w14:textId="77777777" w:rsidR="005B3885" w:rsidRPr="0090761C" w:rsidRDefault="005B3885" w:rsidP="005B3885">
      <w:pPr>
        <w:jc w:val="both"/>
        <w:rPr>
          <w:rFonts w:ascii="Arial" w:hAnsi="Arial" w:cs="Arial"/>
          <w:b/>
          <w:sz w:val="20"/>
          <w:szCs w:val="20"/>
        </w:rPr>
      </w:pPr>
      <w:r>
        <w:rPr>
          <w:rFonts w:ascii="Arial" w:hAnsi="Arial" w:cs="Arial"/>
          <w:b/>
          <w:sz w:val="20"/>
          <w:szCs w:val="20"/>
        </w:rPr>
        <w:t>Recomendaciones</w:t>
      </w:r>
    </w:p>
    <w:p w14:paraId="46DBAACC" w14:textId="77777777" w:rsidR="005B3885" w:rsidRPr="0090761C" w:rsidRDefault="005B3885" w:rsidP="005B3885">
      <w:pPr>
        <w:jc w:val="both"/>
        <w:rPr>
          <w:rFonts w:ascii="Arial" w:hAnsi="Arial" w:cs="Arial"/>
          <w:sz w:val="20"/>
          <w:szCs w:val="20"/>
        </w:rPr>
      </w:pPr>
      <w:r w:rsidRPr="00646559">
        <w:rPr>
          <w:rFonts w:ascii="Arial" w:hAnsi="Arial" w:cs="Arial"/>
          <w:b/>
          <w:sz w:val="20"/>
          <w:szCs w:val="20"/>
        </w:rPr>
        <w:t>Nota 1:</w:t>
      </w:r>
      <w:r>
        <w:rPr>
          <w:rFonts w:ascii="Arial" w:hAnsi="Arial" w:cs="Arial"/>
          <w:sz w:val="20"/>
          <w:szCs w:val="20"/>
        </w:rPr>
        <w:t xml:space="preserve"> Las notas de gestión administrativa solo se </w:t>
      </w:r>
      <w:r w:rsidR="007A3EE5">
        <w:rPr>
          <w:rFonts w:ascii="Arial" w:hAnsi="Arial" w:cs="Arial"/>
          <w:sz w:val="20"/>
          <w:szCs w:val="20"/>
        </w:rPr>
        <w:t>presentarán</w:t>
      </w:r>
      <w:r>
        <w:rPr>
          <w:rFonts w:ascii="Arial" w:hAnsi="Arial" w:cs="Arial"/>
          <w:sz w:val="20"/>
          <w:szCs w:val="20"/>
        </w:rPr>
        <w:t xml:space="preserve"> en medio magnéticas.</w:t>
      </w:r>
    </w:p>
    <w:p w14:paraId="74342B06" w14:textId="77777777" w:rsidR="005B3885" w:rsidRDefault="005B3885" w:rsidP="005B3885">
      <w:pPr>
        <w:jc w:val="both"/>
        <w:rPr>
          <w:rFonts w:ascii="Arial" w:hAnsi="Arial" w:cs="Arial"/>
          <w:sz w:val="20"/>
          <w:szCs w:val="20"/>
        </w:rPr>
      </w:pPr>
    </w:p>
    <w:p w14:paraId="106379FF" w14:textId="56BB55A5" w:rsidR="003254A0" w:rsidRDefault="003254A0" w:rsidP="005B3885">
      <w:pPr>
        <w:jc w:val="both"/>
        <w:rPr>
          <w:rFonts w:ascii="Arial" w:hAnsi="Arial" w:cs="Arial"/>
          <w:sz w:val="20"/>
          <w:szCs w:val="20"/>
        </w:rPr>
      </w:pPr>
    </w:p>
    <w:p w14:paraId="7F7F1FB7" w14:textId="1D741F33" w:rsidR="00293198" w:rsidRPr="0090761C" w:rsidRDefault="008D21A6" w:rsidP="005B3885">
      <w:pPr>
        <w:jc w:val="both"/>
        <w:rPr>
          <w:rFonts w:ascii="Arial" w:hAnsi="Arial" w:cs="Arial"/>
          <w:sz w:val="20"/>
          <w:szCs w:val="20"/>
        </w:rPr>
      </w:pPr>
      <w:r w:rsidRPr="00B34B52">
        <w:rPr>
          <w:noProof/>
        </w:rPr>
        <w:drawing>
          <wp:inline distT="0" distB="0" distL="0" distR="0" wp14:anchorId="26916134" wp14:editId="45DFD9E6">
            <wp:extent cx="6151880" cy="17170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1717002"/>
                    </a:xfrm>
                    <a:prstGeom prst="rect">
                      <a:avLst/>
                    </a:prstGeom>
                    <a:noFill/>
                    <a:ln>
                      <a:noFill/>
                    </a:ln>
                  </pic:spPr>
                </pic:pic>
              </a:graphicData>
            </a:graphic>
          </wp:inline>
        </w:drawing>
      </w:r>
    </w:p>
    <w:sectPr w:rsidR="00293198" w:rsidRPr="0090761C"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7D3A" w14:textId="77777777" w:rsidR="00EA566A" w:rsidRDefault="00EA566A" w:rsidP="00E00323">
      <w:pPr>
        <w:spacing w:after="0" w:line="240" w:lineRule="auto"/>
      </w:pPr>
      <w:r>
        <w:separator/>
      </w:r>
    </w:p>
  </w:endnote>
  <w:endnote w:type="continuationSeparator" w:id="0">
    <w:p w14:paraId="076F7A78" w14:textId="77777777" w:rsidR="00EA566A" w:rsidRDefault="00EA566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87E8" w14:textId="77777777" w:rsidR="00EA566A" w:rsidRDefault="00EA566A" w:rsidP="00E00323">
      <w:pPr>
        <w:spacing w:after="0" w:line="240" w:lineRule="auto"/>
      </w:pPr>
      <w:r>
        <w:separator/>
      </w:r>
    </w:p>
  </w:footnote>
  <w:footnote w:type="continuationSeparator" w:id="0">
    <w:p w14:paraId="6DC45E85" w14:textId="77777777" w:rsidR="00EA566A" w:rsidRDefault="00EA566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49B9" w14:textId="77777777" w:rsidR="00154BA3" w:rsidRDefault="005B3885" w:rsidP="000D657F">
    <w:pPr>
      <w:pStyle w:val="Encabezado"/>
      <w:spacing w:after="0" w:line="240" w:lineRule="auto"/>
      <w:jc w:val="center"/>
    </w:pPr>
    <w:r>
      <w:t xml:space="preserve">INSTITUTO MUNICIPAL DE CULTURA DE ACAMBARO GUANAJUATO </w:t>
    </w:r>
  </w:p>
  <w:p w14:paraId="036C3EDD" w14:textId="6B9E4A71" w:rsidR="000D657F" w:rsidRDefault="000D657F" w:rsidP="000D657F">
    <w:pPr>
      <w:pStyle w:val="Encabezado"/>
      <w:spacing w:after="0" w:line="240" w:lineRule="auto"/>
      <w:jc w:val="center"/>
    </w:pPr>
    <w:r>
      <w:t xml:space="preserve">Del 01 de </w:t>
    </w:r>
    <w:r w:rsidR="004D3588">
      <w:t xml:space="preserve">enero al </w:t>
    </w:r>
    <w:r>
      <w:t>3</w:t>
    </w:r>
    <w:r w:rsidR="007D7694">
      <w:t>1</w:t>
    </w:r>
    <w:r w:rsidR="005F3474">
      <w:t xml:space="preserve"> de </w:t>
    </w:r>
    <w:r w:rsidR="00481111">
      <w:t>marzo</w:t>
    </w:r>
    <w:r w:rsidR="00E61299">
      <w:t xml:space="preserve"> del 202</w:t>
    </w:r>
    <w:r w:rsidR="00481111">
      <w:t>6</w:t>
    </w:r>
  </w:p>
  <w:p w14:paraId="6AB4531D" w14:textId="77777777" w:rsidR="000D657F" w:rsidRDefault="000D657F" w:rsidP="000D657F">
    <w:pPr>
      <w:pStyle w:val="Encabezado"/>
      <w:spacing w:after="0" w:line="240" w:lineRule="auto"/>
      <w:jc w:val="center"/>
    </w:pPr>
    <w:r>
      <w:t xml:space="preserve">NOTAS DE GESTION ADMINISTRATIVAS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A88"/>
    <w:multiLevelType w:val="multilevel"/>
    <w:tmpl w:val="439C3294"/>
    <w:lvl w:ilvl="0">
      <w:start w:val="1"/>
      <w:numFmt w:val="decimal"/>
      <w:lvlText w:val="%1."/>
      <w:lvlJc w:val="left"/>
      <w:pPr>
        <w:ind w:left="720" w:hanging="360"/>
      </w:pPr>
      <w:rPr>
        <w:sz w:val="28"/>
      </w:rPr>
    </w:lvl>
    <w:lvl w:ilvl="1">
      <w:start w:val="1"/>
      <w:numFmt w:val="decimal"/>
      <w:isLgl/>
      <w:lvlText w:val="%1.%2."/>
      <w:lvlJc w:val="left"/>
      <w:pPr>
        <w:ind w:left="1080" w:hanging="720"/>
      </w:pPr>
      <w:rPr>
        <w:rFonts w:ascii="Arial" w:hAnsi="Arial" w:cs="Arial" w:hint="default"/>
        <w:b/>
        <w:sz w:val="24"/>
      </w:rPr>
    </w:lvl>
    <w:lvl w:ilvl="2">
      <w:start w:val="1"/>
      <w:numFmt w:val="decimal"/>
      <w:isLgl/>
      <w:lvlText w:val="%1.%2.%3."/>
      <w:lvlJc w:val="left"/>
      <w:pPr>
        <w:ind w:left="1145" w:hanging="720"/>
      </w:pPr>
      <w:rPr>
        <w:rFonts w:ascii="Arial" w:hAnsi="Arial" w:cs="Arial" w:hint="default"/>
        <w:b/>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205D5"/>
    <w:rsid w:val="000506FE"/>
    <w:rsid w:val="00070EF4"/>
    <w:rsid w:val="000802D8"/>
    <w:rsid w:val="000B2486"/>
    <w:rsid w:val="000B7810"/>
    <w:rsid w:val="000D657F"/>
    <w:rsid w:val="000E5E16"/>
    <w:rsid w:val="001219BB"/>
    <w:rsid w:val="00154BA3"/>
    <w:rsid w:val="00157ADB"/>
    <w:rsid w:val="001847D2"/>
    <w:rsid w:val="001973A2"/>
    <w:rsid w:val="001C75F2"/>
    <w:rsid w:val="001D2063"/>
    <w:rsid w:val="00235630"/>
    <w:rsid w:val="00265383"/>
    <w:rsid w:val="00274E09"/>
    <w:rsid w:val="00293198"/>
    <w:rsid w:val="003254A0"/>
    <w:rsid w:val="00333EA4"/>
    <w:rsid w:val="00393BDF"/>
    <w:rsid w:val="00396742"/>
    <w:rsid w:val="003A24EB"/>
    <w:rsid w:val="003A65E8"/>
    <w:rsid w:val="003B2D78"/>
    <w:rsid w:val="003C0F76"/>
    <w:rsid w:val="003D00D6"/>
    <w:rsid w:val="003F7D10"/>
    <w:rsid w:val="00481111"/>
    <w:rsid w:val="004A2417"/>
    <w:rsid w:val="004A5A8C"/>
    <w:rsid w:val="004D3588"/>
    <w:rsid w:val="004E25DA"/>
    <w:rsid w:val="004E26B2"/>
    <w:rsid w:val="004F6F3C"/>
    <w:rsid w:val="00510284"/>
    <w:rsid w:val="00552DAB"/>
    <w:rsid w:val="00562547"/>
    <w:rsid w:val="00572F0E"/>
    <w:rsid w:val="005A7C34"/>
    <w:rsid w:val="005B3885"/>
    <w:rsid w:val="005D3E43"/>
    <w:rsid w:val="005E231E"/>
    <w:rsid w:val="005F3474"/>
    <w:rsid w:val="00633CC7"/>
    <w:rsid w:val="00645DBD"/>
    <w:rsid w:val="00657009"/>
    <w:rsid w:val="00681C79"/>
    <w:rsid w:val="006C51B5"/>
    <w:rsid w:val="006C79A6"/>
    <w:rsid w:val="006D7827"/>
    <w:rsid w:val="006F7183"/>
    <w:rsid w:val="00756DAA"/>
    <w:rsid w:val="00757155"/>
    <w:rsid w:val="007714AB"/>
    <w:rsid w:val="00792A5E"/>
    <w:rsid w:val="007A3EE5"/>
    <w:rsid w:val="007D1E76"/>
    <w:rsid w:val="007D7694"/>
    <w:rsid w:val="00827521"/>
    <w:rsid w:val="00831A94"/>
    <w:rsid w:val="00840AAA"/>
    <w:rsid w:val="00870169"/>
    <w:rsid w:val="00885479"/>
    <w:rsid w:val="008D21A6"/>
    <w:rsid w:val="008D438A"/>
    <w:rsid w:val="008D75CD"/>
    <w:rsid w:val="008E076C"/>
    <w:rsid w:val="00913D67"/>
    <w:rsid w:val="00964E70"/>
    <w:rsid w:val="009C28EB"/>
    <w:rsid w:val="00A63367"/>
    <w:rsid w:val="00AE5AE1"/>
    <w:rsid w:val="00AF3696"/>
    <w:rsid w:val="00B17F36"/>
    <w:rsid w:val="00B84CDE"/>
    <w:rsid w:val="00BF5D6E"/>
    <w:rsid w:val="00C60A70"/>
    <w:rsid w:val="00C93987"/>
    <w:rsid w:val="00CD065A"/>
    <w:rsid w:val="00D05681"/>
    <w:rsid w:val="00D176A5"/>
    <w:rsid w:val="00D52DA9"/>
    <w:rsid w:val="00D936AF"/>
    <w:rsid w:val="00DC44F9"/>
    <w:rsid w:val="00E00323"/>
    <w:rsid w:val="00E277A5"/>
    <w:rsid w:val="00E61299"/>
    <w:rsid w:val="00E74967"/>
    <w:rsid w:val="00EA4F50"/>
    <w:rsid w:val="00EA566A"/>
    <w:rsid w:val="00EA7915"/>
    <w:rsid w:val="00EB3360"/>
    <w:rsid w:val="00EE78E7"/>
    <w:rsid w:val="00F56A27"/>
    <w:rsid w:val="00F62002"/>
    <w:rsid w:val="00FF2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B4105"/>
  <w15:docId w15:val="{5D24B537-6D04-4515-998A-8F2E1F5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5931">
      <w:bodyDiv w:val="1"/>
      <w:marLeft w:val="0"/>
      <w:marRight w:val="0"/>
      <w:marTop w:val="0"/>
      <w:marBottom w:val="0"/>
      <w:divBdr>
        <w:top w:val="none" w:sz="0" w:space="0" w:color="auto"/>
        <w:left w:val="none" w:sz="0" w:space="0" w:color="auto"/>
        <w:bottom w:val="none" w:sz="0" w:space="0" w:color="auto"/>
        <w:right w:val="none" w:sz="0" w:space="0" w:color="auto"/>
      </w:divBdr>
    </w:div>
    <w:div w:id="11955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2105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Imca</cp:lastModifiedBy>
  <cp:revision>21</cp:revision>
  <cp:lastPrinted>2025-07-22T15:49:00Z</cp:lastPrinted>
  <dcterms:created xsi:type="dcterms:W3CDTF">2023-01-24T15:32:00Z</dcterms:created>
  <dcterms:modified xsi:type="dcterms:W3CDTF">2026-04-22T16:08:00Z</dcterms:modified>
</cp:coreProperties>
</file>